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66E1F2CF"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2863A4">
        <w:rPr>
          <w:rFonts w:ascii="Times New Roman" w:hAnsi="Times New Roman"/>
          <w:b/>
          <w:i/>
          <w:sz w:val="24"/>
          <w:szCs w:val="24"/>
          <w:lang w:val="nl-NL"/>
        </w:rPr>
        <w:t>I</w:t>
      </w:r>
      <w:r w:rsidR="00A002EB">
        <w:rPr>
          <w:rFonts w:ascii="Times New Roman" w:hAnsi="Times New Roman"/>
          <w:b/>
          <w:i/>
          <w:sz w:val="24"/>
          <w:szCs w:val="24"/>
          <w:lang w:val="nl-NL"/>
        </w:rPr>
        <w:t>/</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8454EB">
        <w:rPr>
          <w:rFonts w:ascii="Times New Roman" w:hAnsi="Times New Roman"/>
          <w:b/>
          <w:i/>
          <w:sz w:val="24"/>
          <w:szCs w:val="24"/>
          <w:lang w:val="nl-NL"/>
        </w:rPr>
        <w:t>4</w:t>
      </w:r>
      <w:r w:rsidRPr="00A90AB7">
        <w:rPr>
          <w:rFonts w:ascii="Times New Roman" w:hAnsi="Times New Roman"/>
          <w:b/>
          <w:i/>
          <w:sz w:val="24"/>
          <w:szCs w:val="24"/>
          <w:lang w:val="nl-NL"/>
        </w:rPr>
        <w:t>)</w:t>
      </w:r>
    </w:p>
    <w:p w14:paraId="57F92425" w14:textId="5D3AAA08" w:rsidR="00BE6F63" w:rsidRPr="008A10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8A10EC">
        <w:rPr>
          <w:rFonts w:ascii="Times New Roman" w:hAnsi="Times New Roman"/>
          <w:b/>
          <w:sz w:val="24"/>
          <w:szCs w:val="24"/>
          <w:lang w:val="nl-NL"/>
        </w:rPr>
        <w:t>1</w:t>
      </w:r>
      <w:r w:rsidR="00BE6F63" w:rsidRPr="008A10EC">
        <w:rPr>
          <w:rFonts w:ascii="Times New Roman" w:hAnsi="Times New Roman"/>
          <w:b/>
          <w:sz w:val="24"/>
          <w:szCs w:val="24"/>
          <w:lang w:val="nl-NL"/>
        </w:rPr>
        <w:t>. Thông tin chung về Quỹ</w:t>
      </w:r>
      <w:r w:rsidR="00494F7E" w:rsidRPr="008A10EC">
        <w:rPr>
          <w:rFonts w:ascii="Times New Roman" w:hAnsi="Times New Roman"/>
          <w:b/>
          <w:sz w:val="24"/>
          <w:szCs w:val="24"/>
          <w:lang w:val="nl-NL"/>
        </w:rPr>
        <w:t xml:space="preserve"> Đầu Tư Tăng Trư</w:t>
      </w:r>
      <w:r w:rsidR="00B77864" w:rsidRPr="008A10EC">
        <w:rPr>
          <w:rFonts w:ascii="Times New Roman" w:hAnsi="Times New Roman"/>
          <w:b/>
          <w:sz w:val="24"/>
          <w:szCs w:val="24"/>
          <w:lang w:val="nl-NL"/>
        </w:rPr>
        <w:t>ở</w:t>
      </w:r>
      <w:r w:rsidR="00494F7E" w:rsidRPr="008A10EC">
        <w:rPr>
          <w:rFonts w:ascii="Times New Roman" w:hAnsi="Times New Roman"/>
          <w:b/>
          <w:sz w:val="24"/>
          <w:szCs w:val="24"/>
          <w:lang w:val="nl-NL"/>
        </w:rPr>
        <w:t xml:space="preserve">ng DFVN </w:t>
      </w:r>
      <w:r w:rsidR="00826BB2" w:rsidRPr="008A10EC">
        <w:rPr>
          <w:rFonts w:ascii="Times New Roman" w:hAnsi="Times New Roman"/>
          <w:b/>
          <w:sz w:val="24"/>
          <w:szCs w:val="24"/>
          <w:lang w:val="nl-NL"/>
        </w:rPr>
        <w:t xml:space="preserve">(DFVN </w:t>
      </w:r>
      <w:r w:rsidR="00494F7E" w:rsidRPr="008A10EC">
        <w:rPr>
          <w:rFonts w:ascii="Times New Roman" w:hAnsi="Times New Roman"/>
          <w:b/>
          <w:sz w:val="24"/>
          <w:szCs w:val="24"/>
          <w:lang w:val="nl-NL"/>
        </w:rPr>
        <w:t>– CAF</w:t>
      </w:r>
      <w:r w:rsidR="00826BB2" w:rsidRPr="008A10EC">
        <w:rPr>
          <w:rFonts w:ascii="Times New Roman" w:hAnsi="Times New Roman"/>
          <w:b/>
          <w:sz w:val="24"/>
          <w:szCs w:val="24"/>
          <w:lang w:val="nl-NL"/>
        </w:rPr>
        <w:t>)</w:t>
      </w:r>
    </w:p>
    <w:bookmarkEnd w:id="0"/>
    <w:p w14:paraId="0BEC9635" w14:textId="03C8E49F" w:rsidR="00BE6F63" w:rsidRPr="008A10EC"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2058AC">
        <w:rPr>
          <w:rFonts w:ascii="Times New Roman" w:hAnsi="Times New Roman"/>
          <w:b/>
          <w:sz w:val="24"/>
          <w:szCs w:val="24"/>
          <w:lang w:val="nl-NL"/>
        </w:rPr>
        <w:t>1.</w:t>
      </w:r>
      <w:r w:rsidR="00A44447" w:rsidRPr="002058AC">
        <w:rPr>
          <w:rFonts w:ascii="Times New Roman" w:hAnsi="Times New Roman"/>
          <w:b/>
          <w:sz w:val="24"/>
          <w:szCs w:val="24"/>
          <w:lang w:val="nl-NL"/>
        </w:rPr>
        <w:t>1.</w:t>
      </w:r>
      <w:r w:rsidRPr="002058AC">
        <w:rPr>
          <w:rFonts w:ascii="Times New Roman" w:hAnsi="Times New Roman"/>
          <w:b/>
          <w:sz w:val="24"/>
          <w:szCs w:val="24"/>
          <w:lang w:val="nl-NL"/>
        </w:rPr>
        <w:t xml:space="preserve"> Mục tiêu của Quỹ:</w:t>
      </w:r>
    </w:p>
    <w:p w14:paraId="1EDD510C" w14:textId="77777777" w:rsidR="00A44447" w:rsidRPr="008A10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8A10EC">
        <w:rPr>
          <w:rFonts w:ascii="Times New Roman" w:hAnsi="Times New Roman"/>
          <w:sz w:val="24"/>
          <w:szCs w:val="24"/>
          <w:lang w:val="nl-NL"/>
        </w:rPr>
        <w:t>Quỹ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8A10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2058AC">
        <w:rPr>
          <w:rFonts w:ascii="Times New Roman" w:hAnsi="Times New Roman"/>
          <w:b/>
          <w:sz w:val="24"/>
          <w:szCs w:val="24"/>
          <w:lang w:val="nl-NL"/>
        </w:rPr>
        <w:t>1.</w:t>
      </w:r>
      <w:r w:rsidR="00BE6F63" w:rsidRPr="002058AC">
        <w:rPr>
          <w:rFonts w:ascii="Times New Roman" w:hAnsi="Times New Roman"/>
          <w:b/>
          <w:sz w:val="24"/>
          <w:szCs w:val="24"/>
          <w:lang w:val="nl-NL"/>
        </w:rPr>
        <w:t>2. Hiệu quả hoạt động của Quỹ:</w:t>
      </w:r>
    </w:p>
    <w:p w14:paraId="0E1F1D42" w14:textId="55F2A912" w:rsidR="0095587A" w:rsidRPr="008A10EC"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8A10EC">
        <w:rPr>
          <w:rFonts w:ascii="Times New Roman" w:hAnsi="Times New Roman"/>
          <w:sz w:val="24"/>
          <w:szCs w:val="24"/>
          <w:lang w:val="nl-NL"/>
        </w:rPr>
        <w:t xml:space="preserve">Tính đến cuối kỳ báo cáo, thay đổi giá trị tài sản ròng (NAV) </w:t>
      </w:r>
      <w:r w:rsidRPr="002058AC">
        <w:rPr>
          <w:rFonts w:ascii="Times New Roman" w:hAnsi="Times New Roman"/>
          <w:sz w:val="24"/>
          <w:szCs w:val="24"/>
          <w:lang w:val="nl-NL"/>
        </w:rPr>
        <w:t xml:space="preserve">của Quỹ là </w:t>
      </w:r>
      <w:r w:rsidR="00C62E0D" w:rsidRPr="002058AC">
        <w:rPr>
          <w:rFonts w:ascii="Times New Roman" w:hAnsi="Times New Roman"/>
          <w:sz w:val="24"/>
          <w:szCs w:val="24"/>
          <w:lang w:val="nl-NL"/>
        </w:rPr>
        <w:t>-</w:t>
      </w:r>
      <w:r w:rsidR="003A1BBA" w:rsidRPr="002058AC">
        <w:rPr>
          <w:rFonts w:ascii="Times New Roman" w:hAnsi="Times New Roman"/>
          <w:sz w:val="24"/>
          <w:szCs w:val="24"/>
          <w:lang w:val="nl-NL"/>
        </w:rPr>
        <w:t>1,34</w:t>
      </w:r>
      <w:r w:rsidR="00010F11" w:rsidRPr="002058AC">
        <w:rPr>
          <w:rFonts w:ascii="Times New Roman" w:hAnsi="Times New Roman"/>
          <w:sz w:val="24"/>
          <w:szCs w:val="24"/>
          <w:lang w:val="nl-NL"/>
        </w:rPr>
        <w:t xml:space="preserve">% </w:t>
      </w:r>
      <w:r w:rsidRPr="002058AC">
        <w:rPr>
          <w:rFonts w:ascii="Times New Roman" w:hAnsi="Times New Roman"/>
          <w:sz w:val="24"/>
          <w:szCs w:val="24"/>
          <w:lang w:val="nl-NL"/>
        </w:rPr>
        <w:t>so</w:t>
      </w:r>
      <w:r w:rsidRPr="008A10EC">
        <w:rPr>
          <w:rFonts w:ascii="Times New Roman" w:hAnsi="Times New Roman"/>
          <w:sz w:val="24"/>
          <w:szCs w:val="24"/>
          <w:lang w:val="nl-NL"/>
        </w:rPr>
        <w:t xml:space="preserve"> với giá trị tài sản ròng của quỹ đầu kỳ báo cáo.</w:t>
      </w:r>
    </w:p>
    <w:p w14:paraId="0CB40711" w14:textId="655F2519" w:rsidR="00BE6F63" w:rsidRPr="008A10E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2058AC">
        <w:rPr>
          <w:rFonts w:ascii="Times New Roman" w:hAnsi="Times New Roman"/>
          <w:b/>
          <w:sz w:val="24"/>
          <w:szCs w:val="24"/>
          <w:lang w:val="nl-NL"/>
        </w:rPr>
        <w:t>1.</w:t>
      </w:r>
      <w:r w:rsidR="00BE6F63" w:rsidRPr="002058AC">
        <w:rPr>
          <w:rFonts w:ascii="Times New Roman" w:hAnsi="Times New Roman"/>
          <w:b/>
          <w:sz w:val="24"/>
          <w:szCs w:val="24"/>
          <w:lang w:val="nl-NL"/>
        </w:rPr>
        <w:t>3. Chính sách và chiến lược đầu tư của Quỹ:</w:t>
      </w:r>
    </w:p>
    <w:p w14:paraId="6DFC5489" w14:textId="77777777" w:rsidR="005E77D1" w:rsidRPr="008B0C11"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Chiến lược đầu tư:</w:t>
      </w:r>
    </w:p>
    <w:p w14:paraId="55D6ED67" w14:textId="2A9939E5"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Là công ty trong nhóm dẫn đầu ngành nghề kinh doanh;</w:t>
      </w:r>
    </w:p>
    <w:p w14:paraId="0C6DD558" w14:textId="62FC21C7"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tình trạng tài chính lành mạnh;</w:t>
      </w:r>
    </w:p>
    <w:p w14:paraId="6C9E3981" w14:textId="668CE936"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dòng tiền ổn định, chất lượng tài sản tốt; và</w:t>
      </w:r>
    </w:p>
    <w:p w14:paraId="0D10EDF9" w14:textId="38A7A6FB"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hệ thống quản trị doanh nghiệp tin cậy.</w:t>
      </w:r>
    </w:p>
    <w:p w14:paraId="7B2DE438" w14:textId="534EE247"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Lĩnh vực đầu tư chính của Quỹ là tập trung vào cổ phiếu niêm yết trên các Sở Giao dịch Chứng khoán, cổ phiếu sắp niêm yết và các cổ phiếu doanh nghiệp cổ phần hóa.</w:t>
      </w:r>
    </w:p>
    <w:p w14:paraId="0A7BF163" w14:textId="77777777" w:rsidR="005146DD" w:rsidRPr="008B0C11"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Tài sản được phép đầu tư:</w:t>
      </w:r>
    </w:p>
    <w:p w14:paraId="3AE59F8E" w14:textId="34E49D2F"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chào bán lần đầu ra công chúng, trái phiếu chào bán ra</w:t>
      </w:r>
      <w:r w:rsidRPr="00A44447">
        <w:rPr>
          <w:rFonts w:ascii="Times New Roman" w:hAnsi="Times New Roman"/>
          <w:sz w:val="24"/>
          <w:szCs w:val="24"/>
          <w:lang w:val="nl-NL"/>
        </w:rPr>
        <w:t xml:space="preserve">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4. Phân loại Quỹ:</w:t>
      </w:r>
    </w:p>
    <w:p w14:paraId="430902BC" w14:textId="77777777" w:rsidR="00A44447"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là quỹ đại chúng dạng mở.</w:t>
      </w:r>
    </w:p>
    <w:p w14:paraId="6001AD78" w14:textId="42E76B37"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18C035DD"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2058AC">
        <w:rPr>
          <w:rFonts w:ascii="Times New Roman" w:hAnsi="Times New Roman"/>
          <w:b/>
          <w:sz w:val="24"/>
          <w:szCs w:val="24"/>
          <w:lang w:val="nl-NL"/>
        </w:rPr>
        <w:t>1.</w:t>
      </w:r>
      <w:r w:rsidR="00BE6F63" w:rsidRPr="002058AC">
        <w:rPr>
          <w:rFonts w:ascii="Times New Roman" w:hAnsi="Times New Roman"/>
          <w:b/>
          <w:sz w:val="24"/>
          <w:szCs w:val="24"/>
          <w:lang w:val="nl-NL"/>
        </w:rPr>
        <w:t>6. Mức độ rủi ro ngắn hạn</w:t>
      </w:r>
      <w:r w:rsidR="00EC15EC" w:rsidRPr="002058AC">
        <w:rPr>
          <w:rFonts w:ascii="Times New Roman" w:hAnsi="Times New Roman"/>
          <w:b/>
          <w:sz w:val="24"/>
          <w:szCs w:val="24"/>
          <w:lang w:val="nl-NL"/>
        </w:rPr>
        <w:t>:</w:t>
      </w:r>
      <w:r w:rsidR="00BE6F63" w:rsidRPr="00EC15EC">
        <w:rPr>
          <w:rFonts w:ascii="Times New Roman" w:hAnsi="Times New Roman"/>
          <w:b/>
          <w:sz w:val="24"/>
          <w:szCs w:val="24"/>
          <w:lang w:val="nl-NL"/>
        </w:rPr>
        <w:t xml:space="preserve"> </w:t>
      </w:r>
    </w:p>
    <w:p w14:paraId="6CA491C5"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có mức độ rủi ro ngắn hạn trung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2058AC">
        <w:rPr>
          <w:rFonts w:ascii="Times New Roman" w:hAnsi="Times New Roman"/>
          <w:b/>
          <w:sz w:val="24"/>
          <w:szCs w:val="24"/>
          <w:lang w:val="nl-NL"/>
        </w:rPr>
        <w:lastRenderedPageBreak/>
        <w:t>1.</w:t>
      </w:r>
      <w:r w:rsidR="00BE6F63" w:rsidRPr="002058AC">
        <w:rPr>
          <w:rFonts w:ascii="Times New Roman" w:hAnsi="Times New Roman"/>
          <w:b/>
          <w:sz w:val="24"/>
          <w:szCs w:val="24"/>
          <w:lang w:val="nl-NL"/>
        </w:rPr>
        <w:t>8. Quy mô Quỹ tại thời điểm báo cáo</w:t>
      </w:r>
    </w:p>
    <w:p w14:paraId="0231C78E" w14:textId="7770078C" w:rsidR="00A44447"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2058AC">
        <w:rPr>
          <w:rFonts w:ascii="Times New Roman" w:hAnsi="Times New Roman"/>
          <w:sz w:val="24"/>
          <w:szCs w:val="24"/>
          <w:lang w:val="nl-NL"/>
        </w:rPr>
        <w:t>Tại ngày 3</w:t>
      </w:r>
      <w:r w:rsidR="002863A4" w:rsidRPr="002058AC">
        <w:rPr>
          <w:rFonts w:ascii="Times New Roman" w:hAnsi="Times New Roman"/>
          <w:sz w:val="24"/>
          <w:szCs w:val="24"/>
          <w:lang w:val="nl-NL"/>
        </w:rPr>
        <w:t>0</w:t>
      </w:r>
      <w:r w:rsidRPr="002058AC">
        <w:rPr>
          <w:rFonts w:ascii="Times New Roman" w:hAnsi="Times New Roman"/>
          <w:sz w:val="24"/>
          <w:szCs w:val="24"/>
          <w:lang w:val="nl-NL"/>
        </w:rPr>
        <w:t xml:space="preserve"> tháng </w:t>
      </w:r>
      <w:r w:rsidR="008454EB" w:rsidRPr="002058AC">
        <w:rPr>
          <w:rFonts w:ascii="Times New Roman" w:hAnsi="Times New Roman"/>
          <w:sz w:val="24"/>
          <w:szCs w:val="24"/>
          <w:lang w:val="nl-NL"/>
        </w:rPr>
        <w:t>0</w:t>
      </w:r>
      <w:r w:rsidR="002863A4" w:rsidRPr="002058AC">
        <w:rPr>
          <w:rFonts w:ascii="Times New Roman" w:hAnsi="Times New Roman"/>
          <w:sz w:val="24"/>
          <w:szCs w:val="24"/>
          <w:lang w:val="nl-NL"/>
        </w:rPr>
        <w:t>6</w:t>
      </w:r>
      <w:r w:rsidRPr="002058AC">
        <w:rPr>
          <w:rFonts w:ascii="Times New Roman" w:hAnsi="Times New Roman"/>
          <w:sz w:val="24"/>
          <w:szCs w:val="24"/>
          <w:lang w:val="nl-NL"/>
        </w:rPr>
        <w:t xml:space="preserve"> năm 202</w:t>
      </w:r>
      <w:r w:rsidR="008454EB" w:rsidRPr="002058AC">
        <w:rPr>
          <w:rFonts w:ascii="Times New Roman" w:hAnsi="Times New Roman"/>
          <w:sz w:val="24"/>
          <w:szCs w:val="24"/>
          <w:lang w:val="nl-NL"/>
        </w:rPr>
        <w:t>4</w:t>
      </w:r>
      <w:r w:rsidRPr="002058AC">
        <w:rPr>
          <w:rFonts w:ascii="Times New Roman" w:hAnsi="Times New Roman"/>
          <w:sz w:val="24"/>
          <w:szCs w:val="24"/>
          <w:lang w:val="nl-NL"/>
        </w:rPr>
        <w:t xml:space="preserve">, số lượng Chứng chỉ quỹ (“CCQ”) đang lưu hành của Quỹ là </w:t>
      </w:r>
      <w:r w:rsidR="0095587A" w:rsidRPr="002058AC">
        <w:rPr>
          <w:rFonts w:ascii="Times New Roman" w:hAnsi="Times New Roman"/>
          <w:sz w:val="24"/>
          <w:szCs w:val="24"/>
          <w:lang w:val="nl-NL"/>
        </w:rPr>
        <w:t xml:space="preserve"> </w:t>
      </w:r>
      <w:r w:rsidR="00253E8A" w:rsidRPr="002058AC">
        <w:rPr>
          <w:rFonts w:ascii="Times New Roman" w:hAnsi="Times New Roman"/>
          <w:sz w:val="24"/>
          <w:szCs w:val="24"/>
          <w:lang w:val="nl-NL"/>
        </w:rPr>
        <w:t xml:space="preserve">7.675.253,20 </w:t>
      </w:r>
      <w:r w:rsidRPr="002058AC">
        <w:rPr>
          <w:rFonts w:ascii="Times New Roman" w:hAnsi="Times New Roman"/>
          <w:sz w:val="24"/>
          <w:szCs w:val="24"/>
          <w:lang w:val="nl-NL"/>
        </w:rPr>
        <w:t>CCQ, tương đương với quy mô vốn của Quỹ theo mệnh giá là</w:t>
      </w:r>
      <w:r w:rsidR="001048A2" w:rsidRPr="002058AC">
        <w:rPr>
          <w:rFonts w:ascii="Times New Roman" w:hAnsi="Times New Roman"/>
          <w:sz w:val="24"/>
          <w:szCs w:val="24"/>
          <w:lang w:val="nl-NL"/>
        </w:rPr>
        <w:t xml:space="preserve"> </w:t>
      </w:r>
      <w:r w:rsidR="00C62E0D" w:rsidRPr="002058AC">
        <w:rPr>
          <w:rFonts w:ascii="Times New Roman" w:hAnsi="Times New Roman"/>
          <w:sz w:val="24"/>
          <w:szCs w:val="24"/>
          <w:lang w:val="nl-NL"/>
        </w:rPr>
        <w:t xml:space="preserve"> </w:t>
      </w:r>
      <w:r w:rsidR="00253E8A" w:rsidRPr="002058AC">
        <w:rPr>
          <w:rFonts w:ascii="Times New Roman" w:hAnsi="Times New Roman"/>
          <w:sz w:val="24"/>
          <w:szCs w:val="24"/>
          <w:lang w:val="nl-NL"/>
        </w:rPr>
        <w:t xml:space="preserve">76.752.532.000 </w:t>
      </w:r>
      <w:r w:rsidRPr="002058AC">
        <w:rPr>
          <w:rFonts w:ascii="Times New Roman" w:hAnsi="Times New Roman"/>
          <w:sz w:val="24"/>
          <w:szCs w:val="24"/>
          <w:lang w:val="nl-NL"/>
        </w:rPr>
        <w:t>VND.</w:t>
      </w:r>
    </w:p>
    <w:p w14:paraId="217E359E" w14:textId="18F4CB8E"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424BCD">
        <w:rPr>
          <w:rFonts w:ascii="Times New Roman" w:hAnsi="Times New Roman"/>
          <w:b/>
          <w:sz w:val="24"/>
          <w:szCs w:val="24"/>
          <w:lang w:val="nl-NL"/>
        </w:rPr>
        <w:t>1.</w:t>
      </w:r>
      <w:r w:rsidR="00BE6F63" w:rsidRPr="00424BCD">
        <w:rPr>
          <w:rFonts w:ascii="Times New Roman" w:hAnsi="Times New Roman"/>
          <w:b/>
          <w:sz w:val="24"/>
          <w:szCs w:val="24"/>
          <w:lang w:val="nl-NL"/>
        </w:rPr>
        <w:t>10. Chính sách phân phối lợi nhuận của Quỹ:</w:t>
      </w:r>
    </w:p>
    <w:p w14:paraId="72D983E9" w14:textId="5DCC8B9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Như đã được đề cập trong Bản cáo bạch, Quỹ đầu tư chủ yếu vào cổ phiếu với mục tiêu chính là tăng trưởng giá trị vốn trong giai đoạn trung và dài hạn; do đó Quỹ có hạn chế trong việc chia cổ tức</w:t>
      </w:r>
      <w:r w:rsidR="00B77864">
        <w:rPr>
          <w:rFonts w:ascii="Times New Roman" w:hAnsi="Times New Roman"/>
          <w:sz w:val="24"/>
          <w:szCs w:val="24"/>
          <w:lang w:val="nl-NL"/>
        </w:rPr>
        <w:t xml:space="preserve"> hằng năm</w:t>
      </w:r>
      <w:r w:rsidRPr="00A44447">
        <w:rPr>
          <w:rFonts w:ascii="Times New Roman" w:hAnsi="Times New Roman"/>
          <w:sz w:val="24"/>
          <w:szCs w:val="24"/>
          <w:lang w:val="nl-NL"/>
        </w:rPr>
        <w:t xml:space="preserve">.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3BA0642D"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20DF1FA7" w:rsidR="00BE6F63"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2058AC">
        <w:rPr>
          <w:rFonts w:ascii="Times New Roman" w:hAnsi="Times New Roman"/>
          <w:b/>
          <w:sz w:val="24"/>
          <w:szCs w:val="24"/>
          <w:lang w:val="nl-NL"/>
        </w:rPr>
        <w:t>2.</w:t>
      </w:r>
      <w:r w:rsidR="00315A8E" w:rsidRPr="002058AC">
        <w:rPr>
          <w:rFonts w:ascii="Times New Roman" w:hAnsi="Times New Roman"/>
          <w:b/>
          <w:sz w:val="24"/>
          <w:szCs w:val="24"/>
          <w:lang w:val="nl-NL"/>
        </w:rPr>
        <w:t xml:space="preserve">1. </w:t>
      </w:r>
      <w:r w:rsidR="00BE6F63" w:rsidRPr="002058AC">
        <w:rPr>
          <w:rFonts w:ascii="Times New Roman" w:hAnsi="Times New Roman"/>
          <w:b/>
          <w:sz w:val="24"/>
          <w:szCs w:val="24"/>
          <w:lang w:val="nl-NL"/>
        </w:rPr>
        <w:t>Cơ cấu tài sản quỹ</w:t>
      </w:r>
      <w:r w:rsidR="00147E0F" w:rsidRPr="002058AC">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p w14:paraId="2ACDFE45" w14:textId="77777777" w:rsidR="00EC15EC" w:rsidRPr="00A90AB7" w:rsidRDefault="00EC15EC" w:rsidP="00315A8E">
      <w:pPr>
        <w:shd w:val="clear" w:color="auto" w:fill="FFFFFF"/>
        <w:tabs>
          <w:tab w:val="left" w:pos="540"/>
        </w:tabs>
        <w:spacing w:before="120" w:line="240" w:lineRule="auto"/>
        <w:jc w:val="both"/>
        <w:rPr>
          <w:rFonts w:ascii="Times New Roman" w:hAnsi="Times New Roman"/>
          <w:b/>
          <w:sz w:val="24"/>
          <w:szCs w:val="24"/>
          <w:lang w:val="nl-NL"/>
        </w:rPr>
      </w:pP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67"/>
        <w:gridCol w:w="1800"/>
        <w:gridCol w:w="1800"/>
        <w:gridCol w:w="1800"/>
      </w:tblGrid>
      <w:tr w:rsidR="00756A76" w:rsidRPr="004647B9" w14:paraId="3587C0D2" w14:textId="77777777" w:rsidTr="00FE2BC9">
        <w:tc>
          <w:tcPr>
            <w:tcW w:w="2086"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Cơ cấu tài sản quỹ</w:t>
            </w:r>
          </w:p>
        </w:tc>
        <w:tc>
          <w:tcPr>
            <w:tcW w:w="971" w:type="pct"/>
            <w:shd w:val="clear" w:color="auto" w:fill="auto"/>
            <w:vAlign w:val="center"/>
          </w:tcPr>
          <w:p w14:paraId="77428E37" w14:textId="1C73BE21"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2863A4">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8454EB">
              <w:rPr>
                <w:rFonts w:ascii="Times New Roman" w:eastAsia="Times New Roman" w:hAnsi="Times New Roman"/>
                <w:b/>
                <w:sz w:val="24"/>
                <w:szCs w:val="24"/>
                <w:lang w:val="nl-NL"/>
              </w:rPr>
              <w:t>0</w:t>
            </w:r>
            <w:r w:rsidR="002863A4">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8454EB">
              <w:rPr>
                <w:rFonts w:ascii="Times New Roman" w:eastAsia="Times New Roman" w:hAnsi="Times New Roman"/>
                <w:b/>
                <w:sz w:val="24"/>
                <w:szCs w:val="24"/>
                <w:lang w:val="nl-NL"/>
              </w:rPr>
              <w:t>4</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2A0F0DC4" w14:textId="706F408B" w:rsidR="008454EB" w:rsidRPr="004647B9"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3</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1E8FEA1A" w14:textId="266BBE3A" w:rsidR="008454EB" w:rsidRPr="004647B9"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2</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253E8A" w:rsidRPr="004647B9" w14:paraId="24D2596E" w14:textId="77777777" w:rsidTr="00FE2BC9">
        <w:tc>
          <w:tcPr>
            <w:tcW w:w="2086" w:type="pct"/>
            <w:shd w:val="clear" w:color="auto" w:fill="auto"/>
            <w:vAlign w:val="center"/>
          </w:tcPr>
          <w:p w14:paraId="33FCFD60" w14:textId="6918A882" w:rsidR="00253E8A" w:rsidRPr="004647B9" w:rsidRDefault="00253E8A" w:rsidP="00253E8A">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4835A671" w:rsidR="00253E8A" w:rsidRPr="00C32781"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89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64</w:t>
            </w:r>
          </w:p>
        </w:tc>
        <w:tc>
          <w:tcPr>
            <w:tcW w:w="971" w:type="pct"/>
            <w:shd w:val="clear" w:color="auto" w:fill="auto"/>
          </w:tcPr>
          <w:p w14:paraId="57589212" w14:textId="09CDE9F3" w:rsidR="00253E8A" w:rsidRPr="00C32781"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92</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11</w:t>
            </w:r>
          </w:p>
        </w:tc>
        <w:tc>
          <w:tcPr>
            <w:tcW w:w="971" w:type="pct"/>
            <w:shd w:val="clear" w:color="auto" w:fill="auto"/>
          </w:tcPr>
          <w:p w14:paraId="7BE89613" w14:textId="565EE802" w:rsidR="00253E8A" w:rsidRPr="00C32781"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92</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01</w:t>
            </w:r>
          </w:p>
        </w:tc>
      </w:tr>
      <w:tr w:rsidR="00253E8A" w:rsidRPr="004647B9" w14:paraId="4D0C35D7" w14:textId="77777777" w:rsidTr="00FE2BC9">
        <w:tc>
          <w:tcPr>
            <w:tcW w:w="2086" w:type="pct"/>
            <w:shd w:val="clear" w:color="auto" w:fill="auto"/>
            <w:vAlign w:val="center"/>
          </w:tcPr>
          <w:p w14:paraId="34BD949F" w14:textId="459905D2" w:rsidR="00253E8A" w:rsidRPr="004647B9" w:rsidRDefault="00253E8A" w:rsidP="00253E8A">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tcPr>
          <w:p w14:paraId="67FB726C" w14:textId="5BAD0A1B" w:rsidR="00253E8A" w:rsidRPr="00C32781"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61</w:t>
            </w:r>
          </w:p>
        </w:tc>
        <w:tc>
          <w:tcPr>
            <w:tcW w:w="971" w:type="pct"/>
            <w:shd w:val="clear" w:color="auto" w:fill="auto"/>
          </w:tcPr>
          <w:p w14:paraId="34619132" w14:textId="2603E045" w:rsidR="00253E8A" w:rsidRPr="00C32781"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34</w:t>
            </w:r>
          </w:p>
        </w:tc>
        <w:tc>
          <w:tcPr>
            <w:tcW w:w="971" w:type="pct"/>
            <w:shd w:val="clear" w:color="auto" w:fill="auto"/>
          </w:tcPr>
          <w:p w14:paraId="1E0BFD96" w14:textId="34361EDC" w:rsidR="00253E8A" w:rsidRPr="00C32781"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42</w:t>
            </w:r>
          </w:p>
        </w:tc>
      </w:tr>
      <w:tr w:rsidR="00253E8A" w:rsidRPr="004647B9" w14:paraId="2B8F060E" w14:textId="77777777" w:rsidTr="00FE2BC9">
        <w:tc>
          <w:tcPr>
            <w:tcW w:w="2086" w:type="pct"/>
            <w:shd w:val="clear" w:color="auto" w:fill="auto"/>
            <w:vAlign w:val="center"/>
          </w:tcPr>
          <w:p w14:paraId="687A447B" w14:textId="56D5388C" w:rsidR="00253E8A" w:rsidRPr="004647B9" w:rsidRDefault="00253E8A" w:rsidP="00253E8A">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tcPr>
          <w:p w14:paraId="35A2188C" w14:textId="183436A9" w:rsidR="00253E8A" w:rsidRPr="00C32781"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75</w:t>
            </w:r>
          </w:p>
        </w:tc>
        <w:tc>
          <w:tcPr>
            <w:tcW w:w="971" w:type="pct"/>
            <w:shd w:val="clear" w:color="auto" w:fill="auto"/>
          </w:tcPr>
          <w:p w14:paraId="269481FC" w14:textId="72A51D5B" w:rsidR="00253E8A" w:rsidRPr="00C32781"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55</w:t>
            </w:r>
          </w:p>
        </w:tc>
        <w:tc>
          <w:tcPr>
            <w:tcW w:w="971" w:type="pct"/>
            <w:shd w:val="clear" w:color="auto" w:fill="auto"/>
          </w:tcPr>
          <w:p w14:paraId="2A4B7332" w14:textId="7239F828" w:rsidR="00253E8A" w:rsidRPr="00C32781"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57</w:t>
            </w:r>
          </w:p>
        </w:tc>
      </w:tr>
      <w:tr w:rsidR="00756A76" w:rsidRPr="004647B9" w14:paraId="72495D15" w14:textId="77777777" w:rsidTr="00FE2BC9">
        <w:tc>
          <w:tcPr>
            <w:tcW w:w="2086"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65C84D61"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4FC04B19" w14:textId="2431C748"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c>
          <w:tcPr>
            <w:tcW w:w="971" w:type="pct"/>
            <w:shd w:val="clear" w:color="auto" w:fill="auto"/>
            <w:vAlign w:val="center"/>
          </w:tcPr>
          <w:p w14:paraId="1F0DDFA4" w14:textId="1E924D6E"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FE2BC9">
              <w:rPr>
                <w:rFonts w:ascii="Times New Roman" w:eastAsia="Times New Roman" w:hAnsi="Times New Roman"/>
                <w:b/>
                <w:sz w:val="24"/>
                <w:szCs w:val="24"/>
                <w:lang w:val="nl-NL"/>
              </w:rPr>
              <w:t>,00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2. Chi tiết chỉ tiêu hoạt động</w:t>
      </w:r>
      <w:r w:rsidR="00505ACF" w:rsidRPr="001330F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866"/>
        <w:gridCol w:w="1802"/>
        <w:gridCol w:w="1802"/>
        <w:gridCol w:w="1884"/>
      </w:tblGrid>
      <w:tr w:rsidR="008454EB" w:rsidRPr="00A90AB7" w14:paraId="21034AD9" w14:textId="77777777" w:rsidTr="00FE2BC9">
        <w:tc>
          <w:tcPr>
            <w:tcW w:w="2066" w:type="pct"/>
            <w:shd w:val="clear" w:color="auto" w:fill="auto"/>
            <w:vAlign w:val="center"/>
          </w:tcPr>
          <w:p w14:paraId="1D5B1819" w14:textId="77777777" w:rsidR="008454EB" w:rsidRPr="004647B9" w:rsidRDefault="008454EB" w:rsidP="008454EB">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63" w:type="pct"/>
            <w:shd w:val="clear" w:color="auto" w:fill="auto"/>
            <w:vAlign w:val="center"/>
          </w:tcPr>
          <w:p w14:paraId="4AB83160" w14:textId="1846BB65" w:rsidR="008454EB" w:rsidRPr="00B17BB1"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4</w:t>
            </w:r>
          </w:p>
        </w:tc>
        <w:tc>
          <w:tcPr>
            <w:tcW w:w="963" w:type="pct"/>
            <w:shd w:val="clear" w:color="auto" w:fill="auto"/>
            <w:vAlign w:val="center"/>
          </w:tcPr>
          <w:p w14:paraId="174B15DB" w14:textId="63100E58" w:rsidR="008454EB" w:rsidRPr="00B17BB1"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3</w:t>
            </w:r>
          </w:p>
        </w:tc>
        <w:tc>
          <w:tcPr>
            <w:tcW w:w="1007" w:type="pct"/>
            <w:shd w:val="clear" w:color="auto" w:fill="auto"/>
            <w:vAlign w:val="center"/>
          </w:tcPr>
          <w:p w14:paraId="36922E34" w14:textId="652D16C4" w:rsidR="008454EB" w:rsidRPr="00B17BB1" w:rsidRDefault="002863A4" w:rsidP="008454EB">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8454EB" w:rsidRPr="004647B9">
              <w:rPr>
                <w:rFonts w:ascii="Times New Roman" w:eastAsia="Times New Roman" w:hAnsi="Times New Roman"/>
                <w:b/>
                <w:sz w:val="24"/>
                <w:szCs w:val="24"/>
                <w:lang w:val="nl-NL"/>
              </w:rPr>
              <w:t>/202</w:t>
            </w:r>
            <w:r w:rsidR="008454EB">
              <w:rPr>
                <w:rFonts w:ascii="Times New Roman" w:eastAsia="Times New Roman" w:hAnsi="Times New Roman"/>
                <w:b/>
                <w:sz w:val="24"/>
                <w:szCs w:val="24"/>
                <w:lang w:val="nl-NL"/>
              </w:rPr>
              <w:t>2</w:t>
            </w:r>
          </w:p>
        </w:tc>
      </w:tr>
      <w:tr w:rsidR="00253E8A" w:rsidRPr="00A90AB7" w14:paraId="1582E00A" w14:textId="77777777" w:rsidTr="00FE2BC9">
        <w:trPr>
          <w:trHeight w:val="648"/>
        </w:trPr>
        <w:tc>
          <w:tcPr>
            <w:tcW w:w="2066" w:type="pct"/>
            <w:shd w:val="clear" w:color="auto" w:fill="auto"/>
            <w:vAlign w:val="center"/>
          </w:tcPr>
          <w:p w14:paraId="165B2506" w14:textId="0ACE3575" w:rsidR="00253E8A" w:rsidRPr="00A90AB7" w:rsidRDefault="00253E8A" w:rsidP="00253E8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63" w:type="pct"/>
            <w:shd w:val="clear" w:color="auto" w:fill="auto"/>
          </w:tcPr>
          <w:p w14:paraId="41A827E1" w14:textId="5BEEB2BA" w:rsidR="00253E8A" w:rsidRPr="003E0EF5"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122</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339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948</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591 </w:t>
            </w:r>
          </w:p>
        </w:tc>
        <w:tc>
          <w:tcPr>
            <w:tcW w:w="963" w:type="pct"/>
            <w:shd w:val="clear" w:color="auto" w:fill="auto"/>
          </w:tcPr>
          <w:p w14:paraId="6B0EAE44" w14:textId="04A62A4E" w:rsidR="00253E8A" w:rsidRPr="003E0EF5" w:rsidRDefault="00253E8A" w:rsidP="00253E8A">
            <w:pPr>
              <w:tabs>
                <w:tab w:val="left" w:pos="540"/>
              </w:tabs>
              <w:spacing w:before="120" w:after="120" w:line="240" w:lineRule="auto"/>
              <w:ind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148</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177</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606</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978</w:t>
            </w:r>
          </w:p>
        </w:tc>
        <w:tc>
          <w:tcPr>
            <w:tcW w:w="1007" w:type="pct"/>
            <w:shd w:val="clear" w:color="auto" w:fill="auto"/>
          </w:tcPr>
          <w:p w14:paraId="2D404424" w14:textId="029B2276" w:rsidR="00253E8A" w:rsidRPr="003E0EF5"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141</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976</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939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270</w:t>
            </w:r>
          </w:p>
        </w:tc>
      </w:tr>
      <w:tr w:rsidR="00253E8A" w:rsidRPr="00A90AB7" w14:paraId="740B9023" w14:textId="77777777" w:rsidTr="00FE2BC9">
        <w:trPr>
          <w:trHeight w:val="666"/>
        </w:trPr>
        <w:tc>
          <w:tcPr>
            <w:tcW w:w="2066" w:type="pct"/>
            <w:shd w:val="clear" w:color="auto" w:fill="auto"/>
            <w:vAlign w:val="center"/>
          </w:tcPr>
          <w:p w14:paraId="58D993A2" w14:textId="38821DA1" w:rsidR="00253E8A" w:rsidRPr="00A90AB7" w:rsidRDefault="00253E8A" w:rsidP="00253E8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63" w:type="pct"/>
            <w:shd w:val="clear" w:color="auto" w:fill="auto"/>
          </w:tcPr>
          <w:p w14:paraId="2E0189F1" w14:textId="1175A6C6" w:rsidR="00253E8A" w:rsidRPr="003E0EF5"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7</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675</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253</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20   </w:t>
            </w:r>
          </w:p>
        </w:tc>
        <w:tc>
          <w:tcPr>
            <w:tcW w:w="963" w:type="pct"/>
            <w:shd w:val="clear" w:color="auto" w:fill="auto"/>
          </w:tcPr>
          <w:p w14:paraId="0C159F19" w14:textId="5B5B78BC" w:rsidR="00253E8A" w:rsidRPr="003E0EF5"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128</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514</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24   </w:t>
            </w:r>
          </w:p>
        </w:tc>
        <w:tc>
          <w:tcPr>
            <w:tcW w:w="1007" w:type="pct"/>
            <w:shd w:val="clear" w:color="auto" w:fill="auto"/>
          </w:tcPr>
          <w:p w14:paraId="34852C91" w14:textId="357B0C9F" w:rsidR="00253E8A" w:rsidRPr="003E0EF5"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246</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245</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00   </w:t>
            </w:r>
          </w:p>
        </w:tc>
      </w:tr>
      <w:tr w:rsidR="00253E8A" w:rsidRPr="00A90AB7" w14:paraId="0F7D1AC6" w14:textId="77777777" w:rsidTr="00FE2BC9">
        <w:tc>
          <w:tcPr>
            <w:tcW w:w="2066" w:type="pct"/>
            <w:shd w:val="clear" w:color="auto" w:fill="auto"/>
            <w:vAlign w:val="center"/>
          </w:tcPr>
          <w:p w14:paraId="7AA58A45" w14:textId="038C9255" w:rsidR="00253E8A" w:rsidRPr="00A90AB7" w:rsidRDefault="00253E8A" w:rsidP="00253E8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63" w:type="pct"/>
            <w:shd w:val="clear" w:color="auto" w:fill="auto"/>
          </w:tcPr>
          <w:p w14:paraId="3BB66723" w14:textId="4A21F107" w:rsidR="00253E8A" w:rsidRPr="003E0EF5"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15</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939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53   </w:t>
            </w:r>
          </w:p>
        </w:tc>
        <w:tc>
          <w:tcPr>
            <w:tcW w:w="963" w:type="pct"/>
            <w:shd w:val="clear" w:color="auto" w:fill="auto"/>
          </w:tcPr>
          <w:p w14:paraId="5F9F7D1C" w14:textId="6A2BA32F" w:rsidR="00253E8A" w:rsidRPr="003E0EF5"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315</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12   </w:t>
            </w:r>
          </w:p>
        </w:tc>
        <w:tc>
          <w:tcPr>
            <w:tcW w:w="1007" w:type="pct"/>
            <w:shd w:val="clear" w:color="auto" w:fill="auto"/>
          </w:tcPr>
          <w:p w14:paraId="048F7B62" w14:textId="54A47063" w:rsidR="00253E8A" w:rsidRPr="003E0EF5"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856</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48   </w:t>
            </w:r>
          </w:p>
        </w:tc>
      </w:tr>
      <w:tr w:rsidR="00253E8A" w:rsidRPr="00A90AB7" w14:paraId="395AB2AB" w14:textId="77777777" w:rsidTr="00FE2BC9">
        <w:tc>
          <w:tcPr>
            <w:tcW w:w="2066" w:type="pct"/>
            <w:shd w:val="clear" w:color="auto" w:fill="auto"/>
            <w:vAlign w:val="center"/>
          </w:tcPr>
          <w:p w14:paraId="4D78CBEF" w14:textId="387FCDF9" w:rsidR="00253E8A" w:rsidRPr="00A90AB7" w:rsidRDefault="00253E8A" w:rsidP="00253E8A">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63" w:type="pct"/>
            <w:shd w:val="clear" w:color="auto" w:fill="auto"/>
          </w:tcPr>
          <w:p w14:paraId="2E347DE5" w14:textId="6A20E3D7" w:rsidR="00253E8A" w:rsidRPr="003E0EF5" w:rsidRDefault="00253E8A" w:rsidP="00253E8A">
            <w:pPr>
              <w:tabs>
                <w:tab w:val="left" w:pos="540"/>
              </w:tabs>
              <w:spacing w:before="120" w:after="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473</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81   </w:t>
            </w:r>
          </w:p>
        </w:tc>
        <w:tc>
          <w:tcPr>
            <w:tcW w:w="963" w:type="pct"/>
            <w:shd w:val="clear" w:color="auto" w:fill="auto"/>
          </w:tcPr>
          <w:p w14:paraId="2ECE8D83" w14:textId="4F993523" w:rsidR="00253E8A" w:rsidRPr="003E0EF5" w:rsidRDefault="00253E8A" w:rsidP="00253E8A">
            <w:pPr>
              <w:tabs>
                <w:tab w:val="left" w:pos="540"/>
              </w:tabs>
              <w:spacing w:before="120" w:after="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378</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04   </w:t>
            </w:r>
          </w:p>
        </w:tc>
        <w:tc>
          <w:tcPr>
            <w:tcW w:w="1007" w:type="pct"/>
            <w:shd w:val="clear" w:color="auto" w:fill="auto"/>
          </w:tcPr>
          <w:p w14:paraId="4517B3D4" w14:textId="6DEB5F43" w:rsidR="00253E8A" w:rsidRPr="003E0EF5" w:rsidRDefault="00253E8A" w:rsidP="00253E8A">
            <w:pPr>
              <w:tabs>
                <w:tab w:val="left" w:pos="540"/>
              </w:tabs>
              <w:spacing w:before="120" w:after="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16</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789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71   </w:t>
            </w:r>
          </w:p>
        </w:tc>
      </w:tr>
      <w:tr w:rsidR="00253E8A" w:rsidRPr="00A90AB7" w14:paraId="3A3FE5B3" w14:textId="77777777" w:rsidTr="00FE2BC9">
        <w:tc>
          <w:tcPr>
            <w:tcW w:w="2066" w:type="pct"/>
            <w:shd w:val="clear" w:color="auto" w:fill="auto"/>
            <w:vAlign w:val="center"/>
          </w:tcPr>
          <w:p w14:paraId="67851E1D" w14:textId="18442C06" w:rsidR="00253E8A" w:rsidRPr="00A90AB7" w:rsidRDefault="00253E8A" w:rsidP="00253E8A">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63" w:type="pct"/>
            <w:shd w:val="clear" w:color="auto" w:fill="auto"/>
          </w:tcPr>
          <w:p w14:paraId="78E13020" w14:textId="53EBC750" w:rsidR="00253E8A" w:rsidRPr="003E0EF5" w:rsidRDefault="00253E8A" w:rsidP="00253E8A">
            <w:pPr>
              <w:tabs>
                <w:tab w:val="left" w:pos="540"/>
              </w:tabs>
              <w:spacing w:before="120" w:after="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14</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802</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04   </w:t>
            </w:r>
          </w:p>
        </w:tc>
        <w:tc>
          <w:tcPr>
            <w:tcW w:w="963" w:type="pct"/>
            <w:shd w:val="clear" w:color="auto" w:fill="auto"/>
          </w:tcPr>
          <w:p w14:paraId="7200238C" w14:textId="63E02AEF" w:rsidR="00253E8A" w:rsidRPr="003E0EF5" w:rsidRDefault="00253E8A" w:rsidP="00253E8A">
            <w:pPr>
              <w:tabs>
                <w:tab w:val="left" w:pos="540"/>
              </w:tabs>
              <w:spacing w:before="120" w:after="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12</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419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79   </w:t>
            </w:r>
          </w:p>
        </w:tc>
        <w:tc>
          <w:tcPr>
            <w:tcW w:w="1007" w:type="pct"/>
            <w:shd w:val="clear" w:color="auto" w:fill="auto"/>
          </w:tcPr>
          <w:p w14:paraId="0A60AFAB" w14:textId="1842E390" w:rsidR="00253E8A" w:rsidRPr="003E0EF5" w:rsidRDefault="00253E8A" w:rsidP="00253E8A">
            <w:pPr>
              <w:tabs>
                <w:tab w:val="left" w:pos="540"/>
              </w:tabs>
              <w:spacing w:before="120" w:after="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 xml:space="preserve"> 13</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014</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 xml:space="preserve">08   </w:t>
            </w:r>
          </w:p>
        </w:tc>
      </w:tr>
      <w:tr w:rsidR="00FB29CA" w:rsidRPr="00A90AB7" w14:paraId="680FA9D8" w14:textId="77777777" w:rsidTr="00FE2BC9">
        <w:tc>
          <w:tcPr>
            <w:tcW w:w="2066"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6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63"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07" w:type="pct"/>
            <w:shd w:val="clear" w:color="auto" w:fill="auto"/>
            <w:vAlign w:val="center"/>
          </w:tcPr>
          <w:p w14:paraId="0C5D082F" w14:textId="761CC90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2492316D" w14:textId="77777777" w:rsidTr="00FE2BC9">
        <w:tc>
          <w:tcPr>
            <w:tcW w:w="2066"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6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54E3070C" w14:textId="75D83AC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51B49DCF" w14:textId="77777777" w:rsidTr="00FE2BC9">
        <w:tc>
          <w:tcPr>
            <w:tcW w:w="2066"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6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93C8484" w14:textId="729B6DBB"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253E8A" w:rsidRPr="00A90AB7" w14:paraId="3D43ACEE" w14:textId="77777777" w:rsidTr="00FE2BC9">
        <w:tc>
          <w:tcPr>
            <w:tcW w:w="2066" w:type="pct"/>
            <w:shd w:val="clear" w:color="auto" w:fill="auto"/>
            <w:vAlign w:val="center"/>
          </w:tcPr>
          <w:p w14:paraId="1916F095" w14:textId="30B7C9BD" w:rsidR="00253E8A" w:rsidRPr="00A90AB7" w:rsidRDefault="00253E8A" w:rsidP="00253E8A">
            <w:pPr>
              <w:tabs>
                <w:tab w:val="left" w:pos="540"/>
              </w:tabs>
              <w:spacing w:before="120" w:after="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 (%)</w:t>
            </w:r>
          </w:p>
        </w:tc>
        <w:tc>
          <w:tcPr>
            <w:tcW w:w="963" w:type="pct"/>
            <w:shd w:val="clear" w:color="auto" w:fill="auto"/>
          </w:tcPr>
          <w:p w14:paraId="20184A90" w14:textId="7B8D4AE9" w:rsidR="00253E8A" w:rsidRPr="00B55789" w:rsidRDefault="00253E8A" w:rsidP="00253E8A">
            <w:pPr>
              <w:tabs>
                <w:tab w:val="left" w:pos="540"/>
              </w:tabs>
              <w:spacing w:before="120" w:after="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73</w:t>
            </w:r>
          </w:p>
        </w:tc>
        <w:tc>
          <w:tcPr>
            <w:tcW w:w="963" w:type="pct"/>
            <w:shd w:val="clear" w:color="auto" w:fill="auto"/>
          </w:tcPr>
          <w:p w14:paraId="5EF14642" w14:textId="1EC5DF4F" w:rsidR="00253E8A" w:rsidRPr="00B55789" w:rsidRDefault="00253E8A" w:rsidP="00253E8A">
            <w:pPr>
              <w:tabs>
                <w:tab w:val="left" w:pos="540"/>
              </w:tabs>
              <w:spacing w:before="120" w:after="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81</w:t>
            </w:r>
          </w:p>
        </w:tc>
        <w:tc>
          <w:tcPr>
            <w:tcW w:w="1007" w:type="pct"/>
            <w:shd w:val="clear" w:color="auto" w:fill="auto"/>
          </w:tcPr>
          <w:p w14:paraId="69214AE9" w14:textId="3B109FA3" w:rsidR="00253E8A" w:rsidRPr="00B55789" w:rsidRDefault="00253E8A" w:rsidP="00253E8A">
            <w:pPr>
              <w:tabs>
                <w:tab w:val="left" w:pos="540"/>
              </w:tabs>
              <w:spacing w:before="120" w:after="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44</w:t>
            </w:r>
          </w:p>
        </w:tc>
      </w:tr>
      <w:tr w:rsidR="001046F6" w:rsidRPr="00A90AB7" w14:paraId="39E29FC2" w14:textId="77777777" w:rsidTr="00FE2BC9">
        <w:tc>
          <w:tcPr>
            <w:tcW w:w="2066" w:type="pct"/>
            <w:shd w:val="clear" w:color="auto" w:fill="auto"/>
            <w:vAlign w:val="center"/>
          </w:tcPr>
          <w:p w14:paraId="684DE998" w14:textId="78F073F7"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63" w:type="pct"/>
            <w:shd w:val="clear" w:color="auto" w:fill="auto"/>
            <w:vAlign w:val="center"/>
          </w:tcPr>
          <w:p w14:paraId="100762D5" w14:textId="3C6526FE"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06674D77" w14:textId="7FBEEB7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441377AA" w14:textId="7C4E9FED"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5D4A2E39" w14:textId="77777777" w:rsidTr="00FE2BC9">
        <w:tc>
          <w:tcPr>
            <w:tcW w:w="2066" w:type="pct"/>
            <w:shd w:val="clear" w:color="auto" w:fill="auto"/>
            <w:vAlign w:val="center"/>
          </w:tcPr>
          <w:p w14:paraId="461797A3" w14:textId="30BB3659"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63" w:type="pct"/>
            <w:shd w:val="clear" w:color="auto" w:fill="auto"/>
            <w:vAlign w:val="center"/>
          </w:tcPr>
          <w:p w14:paraId="122130F8" w14:textId="73771D46"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E604B06" w14:textId="29F3D49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6F2AF01B" w14:textId="374D80C2"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CC4F0AA" w14:textId="77777777" w:rsidTr="00FE2BC9">
        <w:tc>
          <w:tcPr>
            <w:tcW w:w="2066"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63" w:type="pct"/>
            <w:shd w:val="clear" w:color="auto" w:fill="auto"/>
            <w:vAlign w:val="center"/>
          </w:tcPr>
          <w:p w14:paraId="760FA637" w14:textId="2779A754"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5168843E" w14:textId="2140B8EF"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1A61D75" w14:textId="0848FB2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6EAB03D4" w14:textId="77777777" w:rsidTr="00FE2BC9">
        <w:tc>
          <w:tcPr>
            <w:tcW w:w="2066"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11.</w:t>
            </w:r>
            <w:r>
              <w:t xml:space="preserve"> </w:t>
            </w:r>
            <w:r w:rsidRPr="0099238D">
              <w:rPr>
                <w:rFonts w:ascii="Times New Roman" w:eastAsia="Times New Roman" w:hAnsi="Times New Roman"/>
                <w:sz w:val="24"/>
                <w:szCs w:val="24"/>
                <w:lang w:val="nl-NL"/>
              </w:rPr>
              <w:t>Phân phối ròng trên 1 đơn vị CCQ (VND)</w:t>
            </w:r>
          </w:p>
        </w:tc>
        <w:tc>
          <w:tcPr>
            <w:tcW w:w="963" w:type="pct"/>
            <w:shd w:val="clear" w:color="auto" w:fill="auto"/>
            <w:vAlign w:val="center"/>
          </w:tcPr>
          <w:p w14:paraId="6260AB34" w14:textId="0E4605E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3194D2B7" w14:textId="48F8E66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56494BE" w14:textId="0BC5E388"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84A1706" w14:textId="77777777" w:rsidTr="00FE2BC9">
        <w:tc>
          <w:tcPr>
            <w:tcW w:w="2066"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 xml:space="preserve">12.Ngày chốt quyền </w:t>
            </w:r>
          </w:p>
        </w:tc>
        <w:tc>
          <w:tcPr>
            <w:tcW w:w="963" w:type="pct"/>
            <w:shd w:val="clear" w:color="auto" w:fill="auto"/>
            <w:vAlign w:val="center"/>
          </w:tcPr>
          <w:p w14:paraId="0010992B" w14:textId="6AA5913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63" w:type="pct"/>
            <w:shd w:val="clear" w:color="auto" w:fill="auto"/>
            <w:vAlign w:val="center"/>
          </w:tcPr>
          <w:p w14:paraId="17D0C26B" w14:textId="6CBDC910"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7" w:type="pct"/>
            <w:shd w:val="clear" w:color="auto" w:fill="auto"/>
            <w:vAlign w:val="center"/>
          </w:tcPr>
          <w:p w14:paraId="3EBF3467" w14:textId="04FF325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253E8A" w:rsidRPr="00A90AB7" w14:paraId="59EE0EC7" w14:textId="77777777" w:rsidTr="00394752">
        <w:tc>
          <w:tcPr>
            <w:tcW w:w="2066" w:type="pct"/>
            <w:shd w:val="clear" w:color="auto" w:fill="auto"/>
            <w:vAlign w:val="center"/>
          </w:tcPr>
          <w:p w14:paraId="5D620D01" w14:textId="1DFC1578" w:rsidR="00253E8A" w:rsidRPr="00A90AB7" w:rsidRDefault="00253E8A" w:rsidP="00253E8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963" w:type="pct"/>
            <w:shd w:val="clear" w:color="auto" w:fill="auto"/>
          </w:tcPr>
          <w:p w14:paraId="1599D8AD" w14:textId="445A665D" w:rsidR="00253E8A" w:rsidRPr="001321D1"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61</w:t>
            </w:r>
          </w:p>
        </w:tc>
        <w:tc>
          <w:tcPr>
            <w:tcW w:w="963" w:type="pct"/>
            <w:shd w:val="clear" w:color="auto" w:fill="auto"/>
          </w:tcPr>
          <w:p w14:paraId="4A1A1B3F" w14:textId="717955B9" w:rsidR="00253E8A" w:rsidRPr="00B55789"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65</w:t>
            </w:r>
          </w:p>
        </w:tc>
        <w:tc>
          <w:tcPr>
            <w:tcW w:w="1007" w:type="pct"/>
            <w:shd w:val="clear" w:color="auto" w:fill="auto"/>
          </w:tcPr>
          <w:p w14:paraId="669414C7" w14:textId="1A48CC91" w:rsidR="00253E8A" w:rsidRPr="00B55789"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86</w:t>
            </w:r>
          </w:p>
        </w:tc>
      </w:tr>
      <w:tr w:rsidR="00253E8A" w:rsidRPr="00A90AB7" w14:paraId="5F792137" w14:textId="77777777" w:rsidTr="00394752">
        <w:tc>
          <w:tcPr>
            <w:tcW w:w="2066" w:type="pct"/>
            <w:shd w:val="clear" w:color="auto" w:fill="auto"/>
            <w:vAlign w:val="center"/>
          </w:tcPr>
          <w:p w14:paraId="1CB9C522" w14:textId="593FBECC" w:rsidR="00253E8A" w:rsidRPr="00A90AB7" w:rsidRDefault="00253E8A" w:rsidP="00253E8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63" w:type="pct"/>
            <w:shd w:val="clear" w:color="auto" w:fill="auto"/>
          </w:tcPr>
          <w:p w14:paraId="1DCC5EDA" w14:textId="2CAEFDAC" w:rsidR="00253E8A" w:rsidRPr="001321D1"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274</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98</w:t>
            </w:r>
          </w:p>
        </w:tc>
        <w:tc>
          <w:tcPr>
            <w:tcW w:w="963" w:type="pct"/>
            <w:shd w:val="clear" w:color="auto" w:fill="auto"/>
          </w:tcPr>
          <w:p w14:paraId="445F9F32" w14:textId="3AFE1E9F" w:rsidR="00253E8A" w:rsidRPr="00B55789"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161</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54</w:t>
            </w:r>
          </w:p>
        </w:tc>
        <w:tc>
          <w:tcPr>
            <w:tcW w:w="1007" w:type="pct"/>
            <w:shd w:val="clear" w:color="auto" w:fill="auto"/>
          </w:tcPr>
          <w:p w14:paraId="236B1E60" w14:textId="37661CEA" w:rsidR="00253E8A" w:rsidRPr="00B55789" w:rsidRDefault="00253E8A" w:rsidP="00253E8A">
            <w:pPr>
              <w:tabs>
                <w:tab w:val="left" w:pos="540"/>
              </w:tabs>
              <w:spacing w:before="120" w:after="120" w:line="240" w:lineRule="auto"/>
              <w:ind w:left="57" w:right="57"/>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227</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89</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253E8A" w:rsidRPr="001330FC" w14:paraId="5EEB48C6" w14:textId="77777777" w:rsidTr="00617039">
        <w:tc>
          <w:tcPr>
            <w:tcW w:w="2115" w:type="pct"/>
            <w:shd w:val="clear" w:color="auto" w:fill="auto"/>
            <w:vAlign w:val="center"/>
          </w:tcPr>
          <w:p w14:paraId="5DDCFCF4" w14:textId="77777777" w:rsidR="00253E8A" w:rsidRPr="001330FC" w:rsidRDefault="00253E8A" w:rsidP="00253E8A">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tcPr>
          <w:p w14:paraId="01E10D90" w14:textId="50A1F842" w:rsidR="00253E8A" w:rsidRPr="003E0EF5"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71</w:t>
            </w:r>
          </w:p>
        </w:tc>
        <w:tc>
          <w:tcPr>
            <w:tcW w:w="1441" w:type="pct"/>
            <w:shd w:val="clear" w:color="auto" w:fill="auto"/>
          </w:tcPr>
          <w:p w14:paraId="31D1F686" w14:textId="40B1A2B7" w:rsidR="00253E8A" w:rsidRPr="003E0EF5"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71</w:t>
            </w:r>
          </w:p>
        </w:tc>
      </w:tr>
      <w:tr w:rsidR="00253E8A" w:rsidRPr="001330FC" w14:paraId="3E717F15" w14:textId="77777777" w:rsidTr="00617039">
        <w:tc>
          <w:tcPr>
            <w:tcW w:w="2115" w:type="pct"/>
            <w:shd w:val="clear" w:color="auto" w:fill="auto"/>
            <w:vAlign w:val="center"/>
          </w:tcPr>
          <w:p w14:paraId="0353B976" w14:textId="77777777" w:rsidR="00253E8A" w:rsidRPr="001330FC" w:rsidRDefault="00253E8A" w:rsidP="00253E8A">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tcPr>
          <w:p w14:paraId="3DFE9C10" w14:textId="404AC5CF" w:rsidR="00253E8A" w:rsidRPr="003E0EF5"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60</w:t>
            </w:r>
          </w:p>
        </w:tc>
        <w:tc>
          <w:tcPr>
            <w:tcW w:w="1441" w:type="pct"/>
            <w:shd w:val="clear" w:color="auto" w:fill="auto"/>
          </w:tcPr>
          <w:p w14:paraId="6BB5F47E" w14:textId="23DC9CB9" w:rsidR="00253E8A" w:rsidRPr="003E0EF5"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54</w:t>
            </w:r>
          </w:p>
        </w:tc>
      </w:tr>
      <w:tr w:rsidR="00253E8A" w:rsidRPr="001330FC" w14:paraId="15A9300F" w14:textId="77777777" w:rsidTr="00617039">
        <w:tc>
          <w:tcPr>
            <w:tcW w:w="2115" w:type="pct"/>
            <w:shd w:val="clear" w:color="auto" w:fill="auto"/>
            <w:vAlign w:val="center"/>
          </w:tcPr>
          <w:p w14:paraId="23252578" w14:textId="77777777" w:rsidR="00253E8A" w:rsidRPr="001330FC" w:rsidRDefault="00253E8A" w:rsidP="00253E8A">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tcPr>
          <w:p w14:paraId="631B2217" w14:textId="68A1D0CF" w:rsidR="00253E8A" w:rsidRPr="00C06905"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59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40</w:t>
            </w:r>
          </w:p>
        </w:tc>
        <w:tc>
          <w:tcPr>
            <w:tcW w:w="1441" w:type="pct"/>
            <w:shd w:val="clear" w:color="auto" w:fill="auto"/>
          </w:tcPr>
          <w:p w14:paraId="22F7C0B9" w14:textId="4B3E9E19" w:rsidR="00253E8A" w:rsidRPr="00C06905" w:rsidRDefault="00253E8A" w:rsidP="00253E8A">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8</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85</w:t>
            </w:r>
          </w:p>
        </w:tc>
      </w:tr>
    </w:tbl>
    <w:p w14:paraId="2FB699CF" w14:textId="27AD65E8"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09649C">
        <w:rPr>
          <w:rFonts w:ascii="Times New Roman" w:hAnsi="Times New Roman"/>
          <w:b/>
          <w:sz w:val="24"/>
          <w:szCs w:val="24"/>
          <w:lang w:val="nl-NL"/>
        </w:rPr>
        <w:t>.</w:t>
      </w:r>
      <w:r w:rsidR="00BE6F63" w:rsidRPr="001330FC">
        <w:rPr>
          <w:rFonts w:ascii="Times New Roman" w:hAnsi="Times New Roman"/>
          <w:b/>
          <w:sz w:val="24"/>
          <w:szCs w:val="24"/>
          <w:lang w:val="nl-NL"/>
        </w:rPr>
        <w:t>4</w:t>
      </w:r>
      <w:r w:rsidR="0009649C">
        <w:rPr>
          <w:rFonts w:ascii="Times New Roman" w:hAnsi="Times New Roman"/>
          <w:b/>
          <w:sz w:val="24"/>
          <w:szCs w:val="24"/>
          <w:lang w:val="nl-NL"/>
        </w:rPr>
        <w:t>.</w:t>
      </w:r>
      <w:r w:rsidR="00BE6F63" w:rsidRPr="001330FC">
        <w:rPr>
          <w:rFonts w:ascii="Times New Roman" w:hAnsi="Times New Roman"/>
          <w:b/>
          <w:sz w:val="24"/>
          <w:szCs w:val="24"/>
          <w:lang w:val="nl-NL"/>
        </w:rPr>
        <w:t xml:space="preserve">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2863A4" w:rsidRPr="001330FC" w14:paraId="6BD9BADA" w14:textId="77777777" w:rsidTr="008D0C99">
        <w:trPr>
          <w:trHeight w:val="774"/>
        </w:trPr>
        <w:tc>
          <w:tcPr>
            <w:tcW w:w="2114" w:type="pct"/>
            <w:shd w:val="clear" w:color="auto" w:fill="auto"/>
          </w:tcPr>
          <w:p w14:paraId="0B375C4A" w14:textId="77777777" w:rsidR="002863A4" w:rsidRPr="001330FC" w:rsidRDefault="002863A4" w:rsidP="002863A4">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2B19788F" w14:textId="77777777" w:rsidR="002863A4" w:rsidRPr="004647B9"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4</w:t>
            </w:r>
          </w:p>
          <w:p w14:paraId="4D4EEB62" w14:textId="0B32C651" w:rsidR="002863A4" w:rsidRPr="001330FC"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242FC1A7" w14:textId="628C8828" w:rsidR="002863A4" w:rsidRPr="004647B9"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6A7CC8">
              <w:rPr>
                <w:rFonts w:ascii="Times New Roman" w:eastAsia="Times New Roman" w:hAnsi="Times New Roman"/>
                <w:b/>
                <w:sz w:val="24"/>
                <w:szCs w:val="24"/>
                <w:lang w:val="nl-NL"/>
              </w:rPr>
              <w:t>/</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p w14:paraId="595F60E4" w14:textId="5724E59B" w:rsidR="002863A4" w:rsidRPr="001330FC"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55489ED2" w14:textId="77777777" w:rsidR="002863A4" w:rsidRPr="004647B9"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p w14:paraId="2B058C43" w14:textId="5E01CE75" w:rsidR="002863A4" w:rsidRPr="001330FC" w:rsidRDefault="002863A4" w:rsidP="002863A4">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253E8A" w:rsidRPr="00A90AB7" w14:paraId="2450D773" w14:textId="77777777" w:rsidTr="00BE6F58">
        <w:tc>
          <w:tcPr>
            <w:tcW w:w="2114" w:type="pct"/>
            <w:shd w:val="clear" w:color="auto" w:fill="auto"/>
          </w:tcPr>
          <w:p w14:paraId="1AE229FE" w14:textId="3BE99F55" w:rsidR="00253E8A" w:rsidRPr="001330FC" w:rsidRDefault="00253E8A" w:rsidP="00253E8A">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tcPr>
          <w:p w14:paraId="7171C538" w14:textId="4FECC998" w:rsidR="00253E8A" w:rsidRPr="003E0EF5" w:rsidRDefault="00253E8A" w:rsidP="00253E8A">
            <w:pPr>
              <w:tabs>
                <w:tab w:val="left" w:pos="540"/>
              </w:tabs>
              <w:spacing w:before="12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71</w:t>
            </w:r>
          </w:p>
        </w:tc>
        <w:tc>
          <w:tcPr>
            <w:tcW w:w="1009" w:type="pct"/>
            <w:shd w:val="clear" w:color="auto" w:fill="auto"/>
          </w:tcPr>
          <w:p w14:paraId="34A7EE47" w14:textId="4A3253BD" w:rsidR="00253E8A" w:rsidRPr="003E0EF5" w:rsidRDefault="00253E8A" w:rsidP="00253E8A">
            <w:pPr>
              <w:tabs>
                <w:tab w:val="left" w:pos="540"/>
              </w:tabs>
              <w:spacing w:before="12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91</w:t>
            </w:r>
          </w:p>
        </w:tc>
        <w:tc>
          <w:tcPr>
            <w:tcW w:w="914" w:type="pct"/>
            <w:shd w:val="clear" w:color="auto" w:fill="auto"/>
          </w:tcPr>
          <w:p w14:paraId="296CFA3A" w14:textId="6E7AC3BC" w:rsidR="00253E8A" w:rsidRPr="003E0EF5" w:rsidRDefault="00253E8A" w:rsidP="00253E8A">
            <w:pPr>
              <w:tabs>
                <w:tab w:val="left" w:pos="540"/>
              </w:tabs>
              <w:spacing w:before="12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-14</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46</w:t>
            </w:r>
          </w:p>
        </w:tc>
      </w:tr>
    </w:tbl>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50932426"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273E57">
        <w:rPr>
          <w:rFonts w:ascii="Times New Roman" w:hAnsi="Times New Roman"/>
          <w:b/>
          <w:sz w:val="24"/>
          <w:szCs w:val="24"/>
          <w:lang w:val="nl-NL"/>
        </w:rPr>
        <w:t>3</w:t>
      </w:r>
      <w:r w:rsidR="00BE6F63" w:rsidRPr="00273E57">
        <w:rPr>
          <w:rFonts w:ascii="Times New Roman" w:hAnsi="Times New Roman"/>
          <w:b/>
          <w:sz w:val="24"/>
          <w:szCs w:val="24"/>
          <w:lang w:val="nl-NL"/>
        </w:rPr>
        <w:t>. Mô tả thị trường trong kỳ:</w:t>
      </w:r>
    </w:p>
    <w:p w14:paraId="3CEC6122" w14:textId="77777777" w:rsidR="00A34065" w:rsidRDefault="00A34065" w:rsidP="00A34065">
      <w:pPr>
        <w:shd w:val="clear" w:color="auto" w:fill="FFFFFF"/>
        <w:tabs>
          <w:tab w:val="left" w:pos="540"/>
        </w:tabs>
        <w:spacing w:before="120" w:after="0" w:line="240" w:lineRule="auto"/>
        <w:jc w:val="both"/>
        <w:rPr>
          <w:rFonts w:ascii="Times New Roman" w:hAnsi="Times New Roman"/>
          <w:sz w:val="24"/>
          <w:szCs w:val="24"/>
        </w:rPr>
      </w:pPr>
      <w:bookmarkStart w:id="1" w:name="_Hlk139559402"/>
      <w:bookmarkStart w:id="2" w:name="_Hlk139533534"/>
      <w:r w:rsidRPr="00290D33">
        <w:rPr>
          <w:rFonts w:ascii="Times New Roman" w:hAnsi="Times New Roman"/>
          <w:sz w:val="24"/>
          <w:szCs w:val="24"/>
        </w:rPr>
        <w:t xml:space="preserve">Kinh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2</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4</w:t>
      </w:r>
      <w:r w:rsidRPr="00290D33">
        <w:rPr>
          <w:rFonts w:ascii="Times New Roman" w:hAnsi="Times New Roman"/>
          <w:sz w:val="24"/>
          <w:szCs w:val="24"/>
        </w:rPr>
        <w:t xml:space="preserve">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tồn</w:t>
      </w:r>
      <w:proofErr w:type="spellEnd"/>
      <w:r>
        <w:rPr>
          <w:rFonts w:ascii="Times New Roman" w:hAnsi="Times New Roman"/>
          <w:sz w:val="24"/>
          <w:szCs w:val="24"/>
        </w:rPr>
        <w:t xml:space="preserve"> </w:t>
      </w:r>
      <w:proofErr w:type="spellStart"/>
      <w:r>
        <w:rPr>
          <w:rFonts w:ascii="Times New Roman" w:hAnsi="Times New Roman"/>
          <w:sz w:val="24"/>
          <w:szCs w:val="24"/>
        </w:rPr>
        <w:t>đọng</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w:t>
      </w:r>
      <w:r w:rsidRPr="00290D33">
        <w:rPr>
          <w:rFonts w:ascii="Times New Roman" w:hAnsi="Times New Roman"/>
          <w:sz w:val="24"/>
          <w:szCs w:val="24"/>
        </w:rPr>
        <w:t xml:space="preserve"> </w:t>
      </w:r>
      <w:proofErr w:type="spellStart"/>
      <w:r w:rsidRPr="00290D33">
        <w:rPr>
          <w:rFonts w:ascii="Times New Roman" w:hAnsi="Times New Roman"/>
          <w:sz w:val="24"/>
          <w:szCs w:val="24"/>
        </w:rPr>
        <w:t>Xung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chưa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kết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thúc</w:t>
      </w:r>
      <w:proofErr w:type="spellEnd"/>
      <w:r w:rsidRPr="00290D33">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Trung Đông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căng</w:t>
      </w:r>
      <w:proofErr w:type="spellEnd"/>
      <w:r>
        <w:rPr>
          <w:rFonts w:ascii="Times New Roman" w:hAnsi="Times New Roman"/>
          <w:sz w:val="24"/>
          <w:szCs w:val="24"/>
        </w:rPr>
        <w:t xml:space="preserve"> </w:t>
      </w:r>
      <w:proofErr w:type="spellStart"/>
      <w:r>
        <w:rPr>
          <w:rFonts w:ascii="Times New Roman" w:hAnsi="Times New Roman"/>
          <w:sz w:val="24"/>
          <w:szCs w:val="24"/>
        </w:rPr>
        <w:t>thẳng</w:t>
      </w:r>
      <w:proofErr w:type="spellEnd"/>
      <w:r>
        <w:rPr>
          <w:rFonts w:ascii="Times New Roman" w:hAnsi="Times New Roman"/>
          <w:sz w:val="24"/>
          <w:szCs w:val="24"/>
        </w:rPr>
        <w:t xml:space="preserve"> </w:t>
      </w:r>
      <w:proofErr w:type="spellStart"/>
      <w:r>
        <w:rPr>
          <w:rFonts w:ascii="Times New Roman" w:hAnsi="Times New Roman"/>
          <w:sz w:val="24"/>
          <w:szCs w:val="24"/>
        </w:rPr>
        <w:t>đe</w:t>
      </w:r>
      <w:proofErr w:type="spellEnd"/>
      <w:r>
        <w:rPr>
          <w:rFonts w:ascii="Times New Roman" w:hAnsi="Times New Roman"/>
          <w:sz w:val="24"/>
          <w:szCs w:val="24"/>
        </w:rPr>
        <w:t xml:space="preserve"> </w:t>
      </w:r>
      <w:proofErr w:type="spellStart"/>
      <w:r>
        <w:rPr>
          <w:rFonts w:ascii="Times New Roman" w:hAnsi="Times New Roman"/>
          <w:sz w:val="24"/>
          <w:szCs w:val="24"/>
        </w:rPr>
        <w:t>dọa</w:t>
      </w:r>
      <w:proofErr w:type="spellEnd"/>
      <w:r>
        <w:rPr>
          <w:rFonts w:ascii="Times New Roman" w:hAnsi="Times New Roman"/>
          <w:sz w:val="24"/>
          <w:szCs w:val="24"/>
        </w:rPr>
        <w:t xml:space="preserve"> an </w:t>
      </w:r>
      <w:proofErr w:type="spellStart"/>
      <w:r>
        <w:rPr>
          <w:rFonts w:ascii="Times New Roman" w:hAnsi="Times New Roman"/>
          <w:sz w:val="24"/>
          <w:szCs w:val="24"/>
        </w:rPr>
        <w:t>toàn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an </w:t>
      </w:r>
      <w:proofErr w:type="spellStart"/>
      <w:r>
        <w:rPr>
          <w:rFonts w:ascii="Times New Roman" w:hAnsi="Times New Roman"/>
          <w:sz w:val="24"/>
          <w:szCs w:val="24"/>
        </w:rPr>
        <w:t>ninh</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hải</w:t>
      </w:r>
      <w:proofErr w:type="spellEnd"/>
      <w:r>
        <w:rPr>
          <w:rFonts w:ascii="Times New Roman" w:hAnsi="Times New Roman"/>
          <w:sz w:val="24"/>
          <w:szCs w:val="24"/>
        </w:rPr>
        <w:t xml:space="preserve">. Các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ra</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chiều</w:t>
      </w:r>
      <w:proofErr w:type="spellEnd"/>
      <w:r>
        <w:rPr>
          <w:rFonts w:ascii="Times New Roman" w:hAnsi="Times New Roman"/>
          <w:sz w:val="24"/>
          <w:szCs w:val="24"/>
        </w:rPr>
        <w:t xml:space="preserve"> </w:t>
      </w:r>
      <w:proofErr w:type="spellStart"/>
      <w:r>
        <w:rPr>
          <w:rFonts w:ascii="Times New Roman" w:hAnsi="Times New Roman"/>
          <w:sz w:val="24"/>
          <w:szCs w:val="24"/>
        </w:rPr>
        <w:t>giữa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FED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đi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kéo</w:t>
      </w:r>
      <w:proofErr w:type="spellEnd"/>
      <w:r>
        <w:rPr>
          <w:rFonts w:ascii="Times New Roman" w:hAnsi="Times New Roman"/>
          <w:sz w:val="24"/>
          <w:szCs w:val="24"/>
        </w:rPr>
        <w:t xml:space="preserve"> </w:t>
      </w:r>
      <w:proofErr w:type="spellStart"/>
      <w:r>
        <w:rPr>
          <w:rFonts w:ascii="Times New Roman" w:hAnsi="Times New Roman"/>
          <w:sz w:val="24"/>
          <w:szCs w:val="24"/>
        </w:rPr>
        <w:t>dài</w:t>
      </w:r>
      <w:proofErr w:type="spellEnd"/>
      <w:r>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sidRPr="00290D33">
        <w:rPr>
          <w:rFonts w:ascii="Times New Roman" w:hAnsi="Times New Roman"/>
          <w:sz w:val="24"/>
          <w:szCs w:val="24"/>
        </w:rPr>
        <w:t xml:space="preserve"> </w:t>
      </w:r>
      <w:r>
        <w:rPr>
          <w:rFonts w:ascii="Times New Roman" w:hAnsi="Times New Roman"/>
          <w:sz w:val="24"/>
          <w:szCs w:val="24"/>
        </w:rPr>
        <w:t xml:space="preserve">ở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gian</w:t>
      </w:r>
      <w:proofErr w:type="spellEnd"/>
      <w:r>
        <w:rPr>
          <w:rFonts w:ascii="Times New Roman" w:hAnsi="Times New Roman"/>
          <w:sz w:val="24"/>
          <w:szCs w:val="24"/>
        </w:rPr>
        <w:t xml:space="preserve"> </w:t>
      </w:r>
      <w:proofErr w:type="spellStart"/>
      <w:r>
        <w:rPr>
          <w:rFonts w:ascii="Times New Roman" w:hAnsi="Times New Roman"/>
          <w:sz w:val="24"/>
          <w:szCs w:val="24"/>
        </w:rPr>
        <w:t>tới</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Pr>
          <w:rFonts w:ascii="Times New Roman" w:hAnsi="Times New Roman"/>
          <w:sz w:val="24"/>
          <w:szCs w:val="24"/>
        </w:rPr>
        <w:t>thì</w:t>
      </w:r>
      <w:proofErr w:type="spellEnd"/>
      <w:r>
        <w:rPr>
          <w:rFonts w:ascii="Times New Roman" w:hAnsi="Times New Roman"/>
          <w:sz w:val="24"/>
          <w:szCs w:val="24"/>
        </w:rPr>
        <w:t xml:space="preserve"> Châu </w:t>
      </w:r>
      <w:proofErr w:type="spellStart"/>
      <w:r>
        <w:rPr>
          <w:rFonts w:ascii="Times New Roman" w:hAnsi="Times New Roman"/>
          <w:sz w:val="24"/>
          <w:szCs w:val="24"/>
        </w:rPr>
        <w:t>Âu</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nới</w:t>
      </w:r>
      <w:proofErr w:type="spellEnd"/>
      <w:r>
        <w:rPr>
          <w:rFonts w:ascii="Times New Roman" w:hAnsi="Times New Roman"/>
          <w:sz w:val="24"/>
          <w:szCs w:val="24"/>
        </w:rPr>
        <w:t xml:space="preserve"> </w:t>
      </w:r>
      <w:proofErr w:type="spellStart"/>
      <w:r>
        <w:rPr>
          <w:rFonts w:ascii="Times New Roman" w:hAnsi="Times New Roman"/>
          <w:sz w:val="24"/>
          <w:szCs w:val="24"/>
        </w:rPr>
        <w:t>lỏng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dần</w:t>
      </w:r>
      <w:proofErr w:type="spellEnd"/>
      <w:r>
        <w:rPr>
          <w:rFonts w:ascii="Times New Roman" w:hAnsi="Times New Roman"/>
          <w:sz w:val="24"/>
          <w:szCs w:val="24"/>
        </w:rPr>
        <w:t>.</w:t>
      </w:r>
      <w:r w:rsidRPr="00290D33">
        <w:rPr>
          <w:rFonts w:ascii="Times New Roman" w:hAnsi="Times New Roman"/>
          <w:sz w:val="24"/>
          <w:szCs w:val="24"/>
        </w:rPr>
        <w:t xml:space="preserve"> </w:t>
      </w:r>
      <w:r>
        <w:rPr>
          <w:rFonts w:ascii="Times New Roman" w:hAnsi="Times New Roman"/>
          <w:sz w:val="24"/>
          <w:szCs w:val="24"/>
        </w:rPr>
        <w:t xml:space="preserve">Ở </w:t>
      </w:r>
      <w:proofErr w:type="spellStart"/>
      <w:r>
        <w:rPr>
          <w:rFonts w:ascii="Times New Roman" w:hAnsi="Times New Roman"/>
          <w:sz w:val="24"/>
          <w:szCs w:val="24"/>
        </w:rPr>
        <w:t>khu</w:t>
      </w:r>
      <w:proofErr w:type="spellEnd"/>
      <w:r>
        <w:rPr>
          <w:rFonts w:ascii="Times New Roman" w:hAnsi="Times New Roman"/>
          <w:sz w:val="24"/>
          <w:szCs w:val="24"/>
        </w:rPr>
        <w:t xml:space="preserve"> </w:t>
      </w:r>
      <w:proofErr w:type="spellStart"/>
      <w:r>
        <w:rPr>
          <w:rFonts w:ascii="Times New Roman" w:hAnsi="Times New Roman"/>
          <w:sz w:val="24"/>
          <w:szCs w:val="24"/>
        </w:rPr>
        <w:t>vực</w:t>
      </w:r>
      <w:proofErr w:type="spellEnd"/>
      <w:r>
        <w:rPr>
          <w:rFonts w:ascii="Times New Roman" w:hAnsi="Times New Roman"/>
          <w:sz w:val="24"/>
          <w:szCs w:val="24"/>
        </w:rPr>
        <w:t xml:space="preserve"> Châu Á, Nhật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Trung Quốc </w:t>
      </w:r>
      <w:proofErr w:type="spellStart"/>
      <w:r>
        <w:rPr>
          <w:rFonts w:ascii="Times New Roman" w:hAnsi="Times New Roman"/>
          <w:sz w:val="24"/>
          <w:szCs w:val="24"/>
        </w:rPr>
        <w:t>đều</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w:t>
      </w:r>
      <w:r w:rsidRPr="00290D33">
        <w:rPr>
          <w:rFonts w:ascii="Times New Roman" w:hAnsi="Times New Roman"/>
          <w:sz w:val="24"/>
          <w:szCs w:val="24"/>
        </w:rPr>
        <w:t xml:space="preserve"> </w:t>
      </w:r>
    </w:p>
    <w:p w14:paraId="53571F4E" w14:textId="77777777" w:rsidR="00A34065" w:rsidRPr="00290D33" w:rsidRDefault="00A34065" w:rsidP="00A34065">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mại</w:t>
      </w:r>
      <w:proofErr w:type="spellEnd"/>
      <w:r>
        <w:rPr>
          <w:rFonts w:ascii="Times New Roman" w:hAnsi="Times New Roman"/>
          <w:sz w:val="24"/>
          <w:szCs w:val="24"/>
        </w:rPr>
        <w:t xml:space="preserve"> </w:t>
      </w:r>
      <w:proofErr w:type="spellStart"/>
      <w:r>
        <w:rPr>
          <w:rFonts w:ascii="Times New Roman" w:hAnsi="Times New Roman"/>
          <w:sz w:val="24"/>
          <w:szCs w:val="24"/>
        </w:rPr>
        <w:t>g</w:t>
      </w:r>
      <w:r w:rsidRPr="00B543DE">
        <w:rPr>
          <w:rFonts w:ascii="Times New Roman" w:hAnsi="Times New Roman"/>
          <w:sz w:val="24"/>
          <w:szCs w:val="24"/>
        </w:rPr>
        <w:t>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mặt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bằng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lãi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suất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cho</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vay</w:t>
      </w:r>
      <w:proofErr w:type="spellEnd"/>
      <w:r>
        <w:rPr>
          <w:rFonts w:ascii="Times New Roman" w:hAnsi="Times New Roman"/>
          <w:sz w:val="24"/>
          <w:szCs w:val="24"/>
        </w:rPr>
        <w:t>;</w:t>
      </w:r>
      <w:r w:rsidRPr="00B543DE">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sidRPr="00B543DE">
        <w:rPr>
          <w:rFonts w:ascii="Times New Roman" w:hAnsi="Times New Roman"/>
          <w:sz w:val="24"/>
          <w:szCs w:val="24"/>
        </w:rPr>
        <w:t>ổn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định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thị</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trường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ngoại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hối</w:t>
      </w:r>
      <w:proofErr w:type="spellEnd"/>
      <w:r>
        <w:rPr>
          <w:rFonts w:ascii="Times New Roman" w:hAnsi="Times New Roman"/>
          <w:sz w:val="24"/>
          <w:szCs w:val="24"/>
        </w:rPr>
        <w:t>;</w:t>
      </w:r>
      <w:r w:rsidRPr="00B543DE">
        <w:rPr>
          <w:rFonts w:ascii="Times New Roman" w:hAnsi="Times New Roman"/>
          <w:sz w:val="24"/>
          <w:szCs w:val="24"/>
        </w:rPr>
        <w:t xml:space="preserve"> </w:t>
      </w:r>
      <w:proofErr w:type="spellStart"/>
      <w:r w:rsidRPr="00B543DE">
        <w:rPr>
          <w:rFonts w:ascii="Times New Roman" w:hAnsi="Times New Roman"/>
          <w:sz w:val="24"/>
          <w:szCs w:val="24"/>
        </w:rPr>
        <w:t>thúc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đẩy</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giải</w:t>
      </w:r>
      <w:proofErr w:type="spellEnd"/>
      <w:r w:rsidRPr="00B543DE">
        <w:rPr>
          <w:rFonts w:ascii="Times New Roman" w:hAnsi="Times New Roman"/>
          <w:sz w:val="24"/>
          <w:szCs w:val="24"/>
        </w:rPr>
        <w:t xml:space="preserve"> ngân </w:t>
      </w:r>
      <w:proofErr w:type="spellStart"/>
      <w:r w:rsidRPr="00B543DE">
        <w:rPr>
          <w:rFonts w:ascii="Times New Roman" w:hAnsi="Times New Roman"/>
          <w:sz w:val="24"/>
          <w:szCs w:val="24"/>
        </w:rPr>
        <w:t>vốn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đầu</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tư</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công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triển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khai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gói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tín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hỗ</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trợ</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ngành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lĩnh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vực</w:t>
      </w:r>
      <w:proofErr w:type="spellEnd"/>
      <w:r>
        <w:rPr>
          <w:rFonts w:ascii="Times New Roman" w:hAnsi="Times New Roman"/>
          <w:sz w:val="24"/>
          <w:szCs w:val="24"/>
        </w:rPr>
        <w:t xml:space="preserve"> </w:t>
      </w:r>
      <w:proofErr w:type="spellStart"/>
      <w:r>
        <w:rPr>
          <w:rFonts w:ascii="Times New Roman" w:hAnsi="Times New Roman"/>
          <w:sz w:val="24"/>
          <w:szCs w:val="24"/>
        </w:rPr>
        <w:t>ưu</w:t>
      </w:r>
      <w:proofErr w:type="spellEnd"/>
      <w:r>
        <w:rPr>
          <w:rFonts w:ascii="Times New Roman" w:hAnsi="Times New Roman"/>
          <w:sz w:val="24"/>
          <w:szCs w:val="24"/>
        </w:rPr>
        <w:t xml:space="preserve"> </w:t>
      </w:r>
      <w:proofErr w:type="spellStart"/>
      <w:r>
        <w:rPr>
          <w:rFonts w:ascii="Times New Roman" w:hAnsi="Times New Roman"/>
          <w:sz w:val="24"/>
          <w:szCs w:val="24"/>
        </w:rPr>
        <w:t>tiên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miễn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gia</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hạn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thuế</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phí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tiền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đất</w:t>
      </w:r>
      <w:proofErr w:type="spellEnd"/>
      <w:r>
        <w:rPr>
          <w:rFonts w:ascii="Times New Roman" w:hAnsi="Times New Roman"/>
          <w:sz w:val="24"/>
          <w:szCs w:val="24"/>
        </w:rPr>
        <w:t xml:space="preserve">… Tuy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hấp</w:t>
      </w:r>
      <w:proofErr w:type="spellEnd"/>
      <w:r>
        <w:rPr>
          <w:rFonts w:ascii="Times New Roman" w:hAnsi="Times New Roman"/>
          <w:sz w:val="24"/>
          <w:szCs w:val="24"/>
        </w:rPr>
        <w:t xml:space="preserve"> </w:t>
      </w:r>
      <w:proofErr w:type="spellStart"/>
      <w:r>
        <w:rPr>
          <w:rFonts w:ascii="Times New Roman" w:hAnsi="Times New Roman"/>
          <w:sz w:val="24"/>
          <w:szCs w:val="24"/>
        </w:rPr>
        <w:t>thụ</w:t>
      </w:r>
      <w:proofErr w:type="spellEnd"/>
      <w:r>
        <w:rPr>
          <w:rFonts w:ascii="Times New Roman" w:hAnsi="Times New Roman"/>
          <w:sz w:val="24"/>
          <w:szCs w:val="24"/>
        </w:rPr>
        <w:t xml:space="preserve"> </w:t>
      </w:r>
      <w:proofErr w:type="spellStart"/>
      <w:r>
        <w:rPr>
          <w:rFonts w:ascii="Times New Roman" w:hAnsi="Times New Roman"/>
          <w:sz w:val="24"/>
          <w:szCs w:val="24"/>
        </w:rPr>
        <w:t>vốn</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xu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khó</w:t>
      </w:r>
      <w:proofErr w:type="spellEnd"/>
      <w:r>
        <w:rPr>
          <w:rFonts w:ascii="Times New Roman" w:hAnsi="Times New Roman"/>
          <w:sz w:val="24"/>
          <w:szCs w:val="24"/>
        </w:rPr>
        <w:t xml:space="preserve"> </w:t>
      </w:r>
      <w:proofErr w:type="spellStart"/>
      <w:r>
        <w:rPr>
          <w:rFonts w:ascii="Times New Roman" w:hAnsi="Times New Roman"/>
          <w:sz w:val="24"/>
          <w:szCs w:val="24"/>
        </w:rPr>
        <w:t>khăn</w:t>
      </w:r>
      <w:proofErr w:type="spellEnd"/>
      <w:r>
        <w:rPr>
          <w:rFonts w:ascii="Times New Roman" w:hAnsi="Times New Roman"/>
          <w:sz w:val="24"/>
          <w:szCs w:val="24"/>
        </w:rPr>
        <w:t>.</w:t>
      </w:r>
    </w:p>
    <w:p w14:paraId="5058D7E4" w14:textId="77777777" w:rsidR="00A34065" w:rsidRPr="0019258E" w:rsidRDefault="00A34065" w:rsidP="00A34065">
      <w:pPr>
        <w:shd w:val="clear" w:color="auto" w:fill="FFFFFF"/>
        <w:tabs>
          <w:tab w:val="left" w:pos="540"/>
        </w:tabs>
        <w:spacing w:before="120" w:after="0" w:line="240" w:lineRule="auto"/>
        <w:jc w:val="both"/>
        <w:rPr>
          <w:rFonts w:ascii="Times New Roman" w:hAnsi="Times New Roman"/>
          <w:sz w:val="24"/>
          <w:szCs w:val="24"/>
        </w:rPr>
      </w:pPr>
      <w:r w:rsidRPr="00290D33">
        <w:rPr>
          <w:rFonts w:ascii="Times New Roman" w:hAnsi="Times New Roman"/>
          <w:sz w:val="24"/>
          <w:szCs w:val="24"/>
        </w:rPr>
        <w:t xml:space="preserve">Trong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chung</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vĩ</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dần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2 </w:t>
      </w:r>
      <w:proofErr w:type="spellStart"/>
      <w:r>
        <w:rPr>
          <w:rFonts w:ascii="Times New Roman" w:hAnsi="Times New Roman"/>
          <w:sz w:val="24"/>
          <w:szCs w:val="24"/>
        </w:rPr>
        <w:t>năm</w:t>
      </w:r>
      <w:proofErr w:type="spellEnd"/>
      <w:r>
        <w:rPr>
          <w:rFonts w:ascii="Times New Roman" w:hAnsi="Times New Roman"/>
          <w:sz w:val="24"/>
          <w:szCs w:val="24"/>
        </w:rPr>
        <w:t xml:space="preserve"> 2024.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mạnh</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Quý 2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cách</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ngờ</w:t>
      </w:r>
      <w:proofErr w:type="spellEnd"/>
      <w:r>
        <w:rPr>
          <w:rFonts w:ascii="Times New Roman" w:hAnsi="Times New Roman"/>
          <w:sz w:val="24"/>
          <w:szCs w:val="24"/>
        </w:rPr>
        <w:t xml:space="preserve">, GDP Quý 2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6,93%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6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2024 GDP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6,42%,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6,58% </w:t>
      </w:r>
      <w:proofErr w:type="spellStart"/>
      <w:r>
        <w:rPr>
          <w:rFonts w:ascii="Times New Roman" w:hAnsi="Times New Roman"/>
          <w:sz w:val="24"/>
          <w:szCs w:val="24"/>
        </w:rPr>
        <w:t>của</w:t>
      </w:r>
      <w:proofErr w:type="spellEnd"/>
      <w:r>
        <w:rPr>
          <w:rFonts w:ascii="Times New Roman" w:hAnsi="Times New Roman"/>
          <w:sz w:val="24"/>
          <w:szCs w:val="24"/>
        </w:rPr>
        <w:t xml:space="preserve"> 6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2022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2020-2024.</w:t>
      </w:r>
      <w:r w:rsidRPr="006137E1">
        <w:rPr>
          <w:rFonts w:ascii="Times New Roman" w:hAnsi="Times New Roman"/>
          <w:color w:val="FF0000"/>
          <w:sz w:val="24"/>
          <w:szCs w:val="24"/>
        </w:rPr>
        <w:t xml:space="preserve"> </w:t>
      </w:r>
      <w:r w:rsidRPr="00FD23E7">
        <w:rPr>
          <w:rFonts w:ascii="Times New Roman" w:hAnsi="Times New Roman"/>
          <w:color w:val="000000" w:themeColor="text1"/>
          <w:sz w:val="24"/>
          <w:szCs w:val="24"/>
        </w:rPr>
        <w:t xml:space="preserve">Trong </w:t>
      </w:r>
      <w:proofErr w:type="spellStart"/>
      <w:r w:rsidRPr="00FD23E7">
        <w:rPr>
          <w:rFonts w:ascii="Times New Roman" w:hAnsi="Times New Roman"/>
          <w:color w:val="000000" w:themeColor="text1"/>
          <w:sz w:val="24"/>
          <w:szCs w:val="24"/>
        </w:rPr>
        <w:t>đó</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nông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lâm</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nghiệp</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và</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thủy</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sản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3</w:t>
      </w:r>
      <w:r>
        <w:rPr>
          <w:rFonts w:ascii="Times New Roman" w:hAnsi="Times New Roman"/>
          <w:color w:val="000000" w:themeColor="text1"/>
          <w:sz w:val="24"/>
          <w:szCs w:val="24"/>
        </w:rPr>
        <w:t>,38</w:t>
      </w:r>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w:t>
      </w:r>
      <w:r>
        <w:rPr>
          <w:rFonts w:ascii="Times New Roman" w:hAnsi="Times New Roman"/>
          <w:color w:val="000000" w:themeColor="text1"/>
          <w:sz w:val="24"/>
          <w:szCs w:val="24"/>
        </w:rPr>
        <w:t>5,96</w:t>
      </w:r>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vào</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mức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tổng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giá</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trị</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thêm</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của</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toàn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nền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kinh</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tế</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công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nghiệp</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và</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xây</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dựng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w:t>
      </w:r>
      <w:r>
        <w:rPr>
          <w:rFonts w:ascii="Times New Roman" w:hAnsi="Times New Roman"/>
          <w:color w:val="000000" w:themeColor="text1"/>
          <w:sz w:val="24"/>
          <w:szCs w:val="24"/>
        </w:rPr>
        <w:t>7,51</w:t>
      </w:r>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w:t>
      </w:r>
      <w:r>
        <w:rPr>
          <w:rFonts w:ascii="Times New Roman" w:hAnsi="Times New Roman"/>
          <w:color w:val="000000" w:themeColor="text1"/>
          <w:sz w:val="24"/>
          <w:szCs w:val="24"/>
        </w:rPr>
        <w:t>44,28</w:t>
      </w:r>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dịch</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vụ</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6</w:t>
      </w:r>
      <w:r>
        <w:rPr>
          <w:rFonts w:ascii="Times New Roman" w:hAnsi="Times New Roman"/>
          <w:color w:val="000000" w:themeColor="text1"/>
          <w:sz w:val="24"/>
          <w:szCs w:val="24"/>
        </w:rPr>
        <w:t>,64</w:t>
      </w:r>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w:t>
      </w:r>
      <w:r>
        <w:rPr>
          <w:rFonts w:ascii="Times New Roman" w:hAnsi="Times New Roman"/>
          <w:color w:val="000000" w:themeColor="text1"/>
          <w:sz w:val="24"/>
          <w:szCs w:val="24"/>
        </w:rPr>
        <w:t>49,76</w:t>
      </w:r>
      <w:r w:rsidRPr="00AB1DB1">
        <w:rPr>
          <w:rFonts w:ascii="Times New Roman" w:hAnsi="Times New Roman"/>
          <w:color w:val="000000" w:themeColor="text1"/>
          <w:sz w:val="24"/>
          <w:szCs w:val="24"/>
        </w:rPr>
        <w:t xml:space="preserve">%. Trong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2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hoạt</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động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ngoại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thương</w:t>
      </w:r>
      <w:proofErr w:type="spellEnd"/>
      <w:r w:rsidRPr="00AB1DB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bức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tế</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của</w:t>
      </w:r>
      <w:proofErr w:type="spellEnd"/>
      <w:r>
        <w:rPr>
          <w:rFonts w:ascii="Times New Roman" w:hAnsi="Times New Roman"/>
          <w:color w:val="000000" w:themeColor="text1"/>
          <w:sz w:val="24"/>
          <w:szCs w:val="24"/>
        </w:rPr>
        <w:t xml:space="preserve"> Việt Nam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cầu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thế</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kim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ngạch</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xuất</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lastRenderedPageBreak/>
        <w:t>khẩu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ước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đạt</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97,2</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tỷ</w:t>
      </w:r>
      <w:proofErr w:type="spellEnd"/>
      <w:r w:rsidRPr="00AB1DB1">
        <w:rPr>
          <w:rFonts w:ascii="Times New Roman" w:hAnsi="Times New Roman"/>
          <w:color w:val="000000" w:themeColor="text1"/>
          <w:sz w:val="24"/>
          <w:szCs w:val="24"/>
        </w:rPr>
        <w:t xml:space="preserve"> USD, </w:t>
      </w:r>
      <w:proofErr w:type="spellStart"/>
      <w:r>
        <w:rPr>
          <w:rFonts w:ascii="Times New Roman" w:hAnsi="Times New Roman"/>
          <w:color w:val="000000" w:themeColor="text1"/>
          <w:sz w:val="24"/>
          <w:szCs w:val="24"/>
        </w:rPr>
        <w:t>tăng</w:t>
      </w:r>
      <w:proofErr w:type="spellEnd"/>
      <w:r w:rsidRPr="00AB1DB1">
        <w:rPr>
          <w:rFonts w:ascii="Times New Roman" w:hAnsi="Times New Roman"/>
          <w:color w:val="000000" w:themeColor="text1"/>
          <w:sz w:val="24"/>
          <w:szCs w:val="24"/>
        </w:rPr>
        <w:t xml:space="preserve"> 1</w:t>
      </w:r>
      <w:r>
        <w:rPr>
          <w:rFonts w:ascii="Times New Roman" w:hAnsi="Times New Roman"/>
          <w:color w:val="000000" w:themeColor="text1"/>
          <w:sz w:val="24"/>
          <w:szCs w:val="24"/>
        </w:rPr>
        <w:t>2,5</w:t>
      </w:r>
      <w:r w:rsidRPr="00AB1DB1">
        <w:rPr>
          <w:rFonts w:ascii="Times New Roman" w:hAnsi="Times New Roman"/>
          <w:color w:val="000000" w:themeColor="text1"/>
          <w:sz w:val="24"/>
          <w:szCs w:val="24"/>
        </w:rPr>
        <w:t xml:space="preserve">%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2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và</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tăng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nhẹ</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4,6</w:t>
      </w:r>
      <w:r w:rsidRPr="00AB1DB1">
        <w:rPr>
          <w:rFonts w:ascii="Times New Roman" w:hAnsi="Times New Roman"/>
          <w:color w:val="000000" w:themeColor="text1"/>
          <w:sz w:val="24"/>
          <w:szCs w:val="24"/>
        </w:rPr>
        <w:t xml:space="preserve">%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Quý 1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AB1DB1">
        <w:rPr>
          <w:rFonts w:ascii="Times New Roman" w:hAnsi="Times New Roman"/>
          <w:color w:val="000000" w:themeColor="text1"/>
          <w:sz w:val="24"/>
          <w:szCs w:val="24"/>
        </w:rPr>
        <w:t xml:space="preserve">. Trong </w:t>
      </w:r>
      <w:proofErr w:type="spellStart"/>
      <w:r w:rsidRPr="00AB1DB1">
        <w:rPr>
          <w:rFonts w:ascii="Times New Roman" w:hAnsi="Times New Roman"/>
          <w:color w:val="000000" w:themeColor="text1"/>
          <w:sz w:val="24"/>
          <w:szCs w:val="24"/>
        </w:rPr>
        <w:t>khi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kim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ngạch</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nhập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khẩu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ước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đạt</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93,3</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tỷ</w:t>
      </w:r>
      <w:proofErr w:type="spellEnd"/>
      <w:r w:rsidRPr="00AB1DB1">
        <w:rPr>
          <w:rFonts w:ascii="Times New Roman" w:hAnsi="Times New Roman"/>
          <w:color w:val="000000" w:themeColor="text1"/>
          <w:sz w:val="24"/>
          <w:szCs w:val="24"/>
        </w:rPr>
        <w:t xml:space="preserve"> USD, </w:t>
      </w:r>
      <w:proofErr w:type="spellStart"/>
      <w:r>
        <w:rPr>
          <w:rFonts w:ascii="Times New Roman" w:hAnsi="Times New Roman"/>
          <w:color w:val="000000" w:themeColor="text1"/>
          <w:sz w:val="24"/>
          <w:szCs w:val="24"/>
        </w:rPr>
        <w:t>tăng</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19,8</w:t>
      </w:r>
      <w:r w:rsidRPr="00AB1DB1">
        <w:rPr>
          <w:rFonts w:ascii="Times New Roman" w:hAnsi="Times New Roman"/>
          <w:color w:val="000000" w:themeColor="text1"/>
          <w:sz w:val="24"/>
          <w:szCs w:val="24"/>
        </w:rPr>
        <w:t xml:space="preserve">%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cùng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và</w:t>
      </w:r>
      <w:proofErr w:type="spellEnd"/>
      <w:r w:rsidRPr="00AB1DB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9,7</w:t>
      </w:r>
      <w:r w:rsidRPr="00AB1DB1">
        <w:rPr>
          <w:rFonts w:ascii="Times New Roman" w:hAnsi="Times New Roman"/>
          <w:color w:val="000000" w:themeColor="text1"/>
          <w:sz w:val="24"/>
          <w:szCs w:val="24"/>
        </w:rPr>
        <w:t xml:space="preserve">%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Quý 1. </w:t>
      </w:r>
      <w:proofErr w:type="spellStart"/>
      <w:r w:rsidRPr="00AB1DB1">
        <w:rPr>
          <w:rFonts w:ascii="Times New Roman" w:hAnsi="Times New Roman"/>
          <w:color w:val="000000" w:themeColor="text1"/>
          <w:sz w:val="24"/>
          <w:szCs w:val="24"/>
        </w:rPr>
        <w:t>Chỉ</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số</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quản</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trị</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mua</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hàng</w:t>
      </w:r>
      <w:proofErr w:type="spellEnd"/>
      <w:r w:rsidRPr="00AB1DB1">
        <w:rPr>
          <w:rFonts w:ascii="Times New Roman" w:hAnsi="Times New Roman"/>
          <w:color w:val="000000" w:themeColor="text1"/>
          <w:sz w:val="24"/>
          <w:szCs w:val="24"/>
        </w:rPr>
        <w:t xml:space="preserve"> – PMI </w:t>
      </w:r>
      <w:proofErr w:type="spellStart"/>
      <w:r w:rsidRPr="00AB1DB1">
        <w:rPr>
          <w:rFonts w:ascii="Times New Roman" w:hAnsi="Times New Roman"/>
          <w:color w:val="000000" w:themeColor="text1"/>
          <w:sz w:val="24"/>
          <w:szCs w:val="24"/>
        </w:rPr>
        <w:t>kỳ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tháng</w:t>
      </w:r>
      <w:proofErr w:type="spellEnd"/>
      <w:r w:rsidRPr="00AB1DB1">
        <w:rPr>
          <w:rFonts w:ascii="Times New Roman" w:hAnsi="Times New Roman"/>
          <w:color w:val="000000" w:themeColor="text1"/>
          <w:sz w:val="24"/>
          <w:szCs w:val="24"/>
        </w:rPr>
        <w:t xml:space="preserve"> 6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AB1DB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bật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lên</w:t>
      </w:r>
      <w:proofErr w:type="spellEnd"/>
      <w:r>
        <w:rPr>
          <w:rFonts w:ascii="Times New Roman" w:hAnsi="Times New Roman"/>
          <w:color w:val="000000" w:themeColor="text1"/>
          <w:sz w:val="24"/>
          <w:szCs w:val="24"/>
        </w:rPr>
        <w:t xml:space="preserve"> 54,7 </w:t>
      </w:r>
      <w:proofErr w:type="spellStart"/>
      <w:r>
        <w:rPr>
          <w:rFonts w:ascii="Times New Roman" w:hAnsi="Times New Roman"/>
          <w:color w:val="000000" w:themeColor="text1"/>
          <w:sz w:val="24"/>
          <w:szCs w:val="24"/>
        </w:rPr>
        <w:t>sau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duy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trì</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4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5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50,3. </w:t>
      </w:r>
      <w:proofErr w:type="spellStart"/>
      <w:r>
        <w:rPr>
          <w:rFonts w:ascii="Times New Roman" w:hAnsi="Times New Roman"/>
          <w:color w:val="000000" w:themeColor="text1"/>
          <w:sz w:val="24"/>
          <w:szCs w:val="24"/>
        </w:rPr>
        <w:t>Chỉ</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số</w:t>
      </w:r>
      <w:proofErr w:type="spellEnd"/>
      <w:r>
        <w:rPr>
          <w:rFonts w:ascii="Times New Roman" w:hAnsi="Times New Roman"/>
          <w:color w:val="000000" w:themeColor="text1"/>
          <w:sz w:val="24"/>
          <w:szCs w:val="24"/>
        </w:rPr>
        <w:t xml:space="preserve"> PMI </w:t>
      </w:r>
      <w:proofErr w:type="spellStart"/>
      <w:r w:rsidRPr="005D165C">
        <w:rPr>
          <w:rFonts w:ascii="Times New Roman" w:hAnsi="Times New Roman"/>
          <w:color w:val="000000" w:themeColor="text1"/>
          <w:sz w:val="24"/>
          <w:szCs w:val="24"/>
        </w:rPr>
        <w:t>cho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thấy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điều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kiện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doanh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tiếp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cải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thiện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thứ</w:t>
      </w:r>
      <w:proofErr w:type="spellEnd"/>
      <w:r>
        <w:rPr>
          <w:rFonts w:ascii="Times New Roman" w:hAnsi="Times New Roman"/>
          <w:color w:val="000000" w:themeColor="text1"/>
          <w:sz w:val="24"/>
          <w:szCs w:val="24"/>
        </w:rPr>
        <w:t xml:space="preserve"> 3 </w:t>
      </w:r>
      <w:proofErr w:type="spellStart"/>
      <w:r>
        <w:rPr>
          <w:rFonts w:ascii="Times New Roman" w:hAnsi="Times New Roman"/>
          <w:color w:val="000000" w:themeColor="text1"/>
          <w:sz w:val="24"/>
          <w:szCs w:val="24"/>
        </w:rPr>
        <w:t>liên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tiếp</w:t>
      </w:r>
      <w:proofErr w:type="spellEnd"/>
      <w:r>
        <w:rPr>
          <w:rFonts w:ascii="Times New Roman" w:hAnsi="Times New Roman"/>
          <w:color w:val="000000" w:themeColor="text1"/>
          <w:sz w:val="24"/>
          <w:szCs w:val="24"/>
        </w:rPr>
        <w:t>,</w:t>
      </w:r>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đặc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biệt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việc</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mạnh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đơn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thị</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trường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khẩu</w:t>
      </w:r>
      <w:proofErr w:type="spellEnd"/>
      <w:r w:rsidRPr="005D165C">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thu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hút</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vốn</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đầu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tư</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trực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tiếp</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nước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ngoài</w:t>
      </w:r>
      <w:proofErr w:type="spellEnd"/>
      <w:r w:rsidRPr="0070554F">
        <w:rPr>
          <w:rFonts w:ascii="Times New Roman" w:hAnsi="Times New Roman"/>
          <w:color w:val="000000" w:themeColor="text1"/>
          <w:sz w:val="24"/>
          <w:szCs w:val="24"/>
        </w:rPr>
        <w:t xml:space="preserve"> (“FDI”)</w:t>
      </w:r>
      <w:r>
        <w:rPr>
          <w:rFonts w:ascii="Times New Roman" w:hAnsi="Times New Roman"/>
          <w:color w:val="000000" w:themeColor="text1"/>
          <w:sz w:val="24"/>
          <w:szCs w:val="24"/>
        </w:rPr>
        <w:t xml:space="preserve"> Quý 2</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năm</w:t>
      </w:r>
      <w:proofErr w:type="spellEnd"/>
      <w:r w:rsidRPr="0070554F">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duy</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trì</w:t>
      </w:r>
      <w:proofErr w:type="spellEnd"/>
      <w:r w:rsidRPr="0070554F">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ổn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định</w:t>
      </w:r>
      <w:proofErr w:type="spellEnd"/>
      <w:r w:rsidRPr="0070554F">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nl-NL"/>
        </w:rPr>
        <w:t>s</w:t>
      </w:r>
      <w:r w:rsidRPr="00DC6010">
        <w:rPr>
          <w:rFonts w:ascii="Times New Roman" w:eastAsia="Times New Roman" w:hAnsi="Times New Roman"/>
          <w:color w:val="000000" w:themeColor="text1"/>
          <w:sz w:val="24"/>
          <w:szCs w:val="24"/>
          <w:lang w:val="nl-NL"/>
        </w:rPr>
        <w:t xml:space="preserve">ố liệu cập nhật của </w:t>
      </w:r>
      <w:r>
        <w:rPr>
          <w:rFonts w:ascii="Times New Roman" w:eastAsia="Times New Roman" w:hAnsi="Times New Roman"/>
          <w:color w:val="000000" w:themeColor="text1"/>
          <w:sz w:val="24"/>
          <w:szCs w:val="24"/>
          <w:lang w:val="nl-NL"/>
        </w:rPr>
        <w:t xml:space="preserve">Tổng Cục Thống Kê </w:t>
      </w:r>
      <w:r w:rsidRPr="00DC6010">
        <w:rPr>
          <w:rFonts w:ascii="Times New Roman" w:eastAsia="Times New Roman" w:hAnsi="Times New Roman"/>
          <w:color w:val="000000" w:themeColor="text1"/>
          <w:sz w:val="24"/>
          <w:szCs w:val="24"/>
          <w:lang w:val="nl-NL"/>
        </w:rPr>
        <w:t xml:space="preserve">cho thấy </w:t>
      </w:r>
      <w:r w:rsidRPr="00DC6010">
        <w:rPr>
          <w:rFonts w:ascii="Times New Roman" w:hAnsi="Times New Roman"/>
          <w:color w:val="000000" w:themeColor="text1"/>
          <w:sz w:val="24"/>
          <w:szCs w:val="24"/>
          <w:lang w:val="nl-NL"/>
        </w:rPr>
        <w:t xml:space="preserve">tính đến cuối </w:t>
      </w:r>
      <w:r>
        <w:rPr>
          <w:rFonts w:ascii="Times New Roman" w:hAnsi="Times New Roman"/>
          <w:color w:val="000000" w:themeColor="text1"/>
          <w:sz w:val="24"/>
          <w:szCs w:val="24"/>
          <w:lang w:val="nl-NL"/>
        </w:rPr>
        <w:t xml:space="preserve">tháng 6 </w:t>
      </w:r>
      <w:r w:rsidRPr="00DC6010">
        <w:rPr>
          <w:rFonts w:ascii="Times New Roman" w:hAnsi="Times New Roman"/>
          <w:color w:val="000000" w:themeColor="text1"/>
          <w:sz w:val="24"/>
          <w:szCs w:val="24"/>
          <w:lang w:val="nl-NL"/>
        </w:rPr>
        <w:t>năm 202</w:t>
      </w:r>
      <w:r>
        <w:rPr>
          <w:rFonts w:ascii="Times New Roman" w:hAnsi="Times New Roman"/>
          <w:color w:val="000000" w:themeColor="text1"/>
          <w:sz w:val="24"/>
          <w:szCs w:val="24"/>
          <w:lang w:val="nl-NL"/>
        </w:rPr>
        <w:t>4</w:t>
      </w:r>
      <w:r w:rsidRPr="00DC6010">
        <w:rPr>
          <w:rFonts w:ascii="Times New Roman" w:hAnsi="Times New Roman"/>
          <w:color w:val="000000" w:themeColor="text1"/>
          <w:sz w:val="24"/>
          <w:szCs w:val="24"/>
          <w:lang w:val="nl-NL"/>
        </w:rPr>
        <w:t>, tổng vốn đăng ký cấp mới, điều chỉnh và góp vốn mua cổ phần của Nhà đầu tư nước ngoài đạt </w:t>
      </w:r>
      <w:r>
        <w:rPr>
          <w:rFonts w:ascii="Times New Roman" w:hAnsi="Times New Roman"/>
          <w:color w:val="000000" w:themeColor="text1"/>
          <w:sz w:val="24"/>
          <w:szCs w:val="24"/>
          <w:lang w:val="nl-NL"/>
        </w:rPr>
        <w:t>15,18</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tăng 13,1</w:t>
      </w:r>
      <w:r w:rsidRPr="00DC6010">
        <w:rPr>
          <w:rFonts w:ascii="Times New Roman" w:hAnsi="Times New Roman"/>
          <w:color w:val="000000" w:themeColor="text1"/>
          <w:sz w:val="24"/>
          <w:szCs w:val="24"/>
          <w:lang w:val="nl-NL"/>
        </w:rPr>
        <w:t>% so với cùng kỳ năm 202</w:t>
      </w:r>
      <w:r>
        <w:rPr>
          <w:rFonts w:ascii="Times New Roman" w:hAnsi="Times New Roman"/>
          <w:color w:val="000000" w:themeColor="text1"/>
          <w:sz w:val="24"/>
          <w:szCs w:val="24"/>
          <w:lang w:val="nl-NL"/>
        </w:rPr>
        <w:t>3</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Trong khi đó, v</w:t>
      </w:r>
      <w:r w:rsidRPr="00DC6010">
        <w:rPr>
          <w:rFonts w:ascii="Times New Roman" w:hAnsi="Times New Roman"/>
          <w:color w:val="000000" w:themeColor="text1"/>
          <w:sz w:val="24"/>
          <w:szCs w:val="24"/>
          <w:lang w:val="nl-NL"/>
        </w:rPr>
        <w:t>ốn thực hiện của dự án đầu tư trực tiếp nước ngoài ước đạt </w:t>
      </w:r>
      <w:r>
        <w:rPr>
          <w:rFonts w:ascii="Times New Roman" w:hAnsi="Times New Roman"/>
          <w:color w:val="000000" w:themeColor="text1"/>
          <w:sz w:val="24"/>
          <w:szCs w:val="24"/>
          <w:lang w:val="nl-NL"/>
        </w:rPr>
        <w:t>10,84</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tăng</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8,2</w:t>
      </w:r>
      <w:r w:rsidRPr="00DC6010">
        <w:rPr>
          <w:rFonts w:ascii="Times New Roman" w:hAnsi="Times New Roman"/>
          <w:color w:val="000000" w:themeColor="text1"/>
          <w:sz w:val="24"/>
          <w:szCs w:val="24"/>
          <w:lang w:val="nl-NL"/>
        </w:rPr>
        <w:t xml:space="preserve">% so với </w:t>
      </w:r>
      <w:r>
        <w:rPr>
          <w:rFonts w:ascii="Times New Roman" w:hAnsi="Times New Roman"/>
          <w:color w:val="000000" w:themeColor="text1"/>
          <w:sz w:val="24"/>
          <w:szCs w:val="24"/>
          <w:lang w:val="nl-NL"/>
        </w:rPr>
        <w:t xml:space="preserve">cùng kỳ năm </w:t>
      </w:r>
      <w:r w:rsidRPr="00DC6010">
        <w:rPr>
          <w:rFonts w:ascii="Times New Roman" w:hAnsi="Times New Roman"/>
          <w:color w:val="000000" w:themeColor="text1"/>
          <w:sz w:val="24"/>
          <w:szCs w:val="24"/>
          <w:lang w:val="nl-NL"/>
        </w:rPr>
        <w:t>202</w:t>
      </w:r>
      <w:r>
        <w:rPr>
          <w:rFonts w:ascii="Times New Roman" w:hAnsi="Times New Roman"/>
          <w:color w:val="000000" w:themeColor="text1"/>
          <w:sz w:val="24"/>
          <w:szCs w:val="24"/>
          <w:lang w:val="nl-NL"/>
        </w:rPr>
        <w:t>3.</w:t>
      </w:r>
      <w:r w:rsidRPr="006137E1">
        <w:rPr>
          <w:rFonts w:ascii="Times New Roman" w:hAnsi="Times New Roman"/>
          <w:color w:val="FF0000"/>
          <w:sz w:val="24"/>
          <w:szCs w:val="24"/>
        </w:rPr>
        <w:t xml:space="preserve"> </w:t>
      </w:r>
      <w:proofErr w:type="spellStart"/>
      <w:r>
        <w:rPr>
          <w:rFonts w:ascii="Times New Roman" w:hAnsi="Times New Roman"/>
          <w:color w:val="000000" w:themeColor="text1"/>
          <w:sz w:val="24"/>
          <w:szCs w:val="24"/>
        </w:rPr>
        <w:t>L</w:t>
      </w:r>
      <w:r w:rsidRPr="00A6750D">
        <w:rPr>
          <w:rFonts w:ascii="Times New Roman" w:hAnsi="Times New Roman"/>
          <w:color w:val="000000" w:themeColor="text1"/>
          <w:sz w:val="24"/>
          <w:szCs w:val="24"/>
        </w:rPr>
        <w:t>ạm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phát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trong</w:t>
      </w:r>
      <w:proofErr w:type="spellEnd"/>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nửa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năm</w:t>
      </w:r>
      <w:proofErr w:type="spellEnd"/>
      <w:r w:rsidRPr="00A6750D">
        <w:rPr>
          <w:rFonts w:ascii="Times New Roman" w:hAnsi="Times New Roman"/>
          <w:color w:val="000000" w:themeColor="text1"/>
          <w:sz w:val="24"/>
          <w:szCs w:val="24"/>
        </w:rPr>
        <w:t xml:space="preserve"> 202</w:t>
      </w:r>
      <w:r>
        <w:rPr>
          <w:rFonts w:ascii="Times New Roman" w:hAnsi="Times New Roman"/>
          <w:color w:val="000000" w:themeColor="text1"/>
          <w:sz w:val="24"/>
          <w:szCs w:val="24"/>
        </w:rPr>
        <w:t>4</w:t>
      </w:r>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được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ổn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định</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các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mặt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hàng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thực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phẩm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xăng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dịch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vụ</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đều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được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Chính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Phủ</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tốt</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dưới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mức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mục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tiêu</w:t>
      </w:r>
      <w:proofErr w:type="spellEnd"/>
      <w:r w:rsidRPr="00A6750D">
        <w:rPr>
          <w:rFonts w:ascii="Times New Roman" w:hAnsi="Times New Roman"/>
          <w:color w:val="000000" w:themeColor="text1"/>
          <w:sz w:val="24"/>
          <w:szCs w:val="24"/>
        </w:rPr>
        <w:t xml:space="preserve"> 4</w:t>
      </w:r>
      <w:r>
        <w:rPr>
          <w:rFonts w:ascii="Times New Roman" w:hAnsi="Times New Roman"/>
          <w:color w:val="000000" w:themeColor="text1"/>
          <w:sz w:val="24"/>
          <w:szCs w:val="24"/>
        </w:rPr>
        <w:t>,5</w:t>
      </w:r>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của</w:t>
      </w:r>
      <w:proofErr w:type="spellEnd"/>
      <w:r w:rsidRPr="00A6750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Quốc </w:t>
      </w:r>
      <w:proofErr w:type="spellStart"/>
      <w:r>
        <w:rPr>
          <w:rFonts w:ascii="Times New Roman" w:hAnsi="Times New Roman"/>
          <w:color w:val="000000" w:themeColor="text1"/>
          <w:sz w:val="24"/>
          <w:szCs w:val="24"/>
        </w:rPr>
        <w:t>hội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4,08%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w:t>
      </w:r>
      <w:bookmarkEnd w:id="1"/>
      <w:r w:rsidRPr="001643B6">
        <w:rPr>
          <w:rFonts w:ascii="Times New Roman" w:hAnsi="Times New Roman"/>
          <w:color w:val="000000" w:themeColor="text1"/>
          <w:sz w:val="24"/>
          <w:szCs w:val="24"/>
        </w:rPr>
        <w:t>.</w:t>
      </w:r>
    </w:p>
    <w:bookmarkEnd w:id="2"/>
    <w:p w14:paraId="7E66A0C2" w14:textId="77777777" w:rsidR="00A26229" w:rsidRPr="00A90AB7"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A90AB7" w:rsidRDefault="00A44447"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6A7CC8">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046F6" w:rsidRPr="00A90AB7" w14:paraId="013F1FB5" w14:textId="77777777" w:rsidTr="0095587A">
        <w:tc>
          <w:tcPr>
            <w:tcW w:w="1875" w:type="pct"/>
            <w:shd w:val="clear" w:color="auto" w:fill="auto"/>
            <w:vAlign w:val="center"/>
          </w:tcPr>
          <w:p w14:paraId="6740DD82" w14:textId="7184388A"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42A4B982"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1F42AD25" w14:textId="3685004F"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BF92CF8" w14:textId="1C5E930A"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1A1556A7" w14:textId="77777777" w:rsidTr="0095587A">
        <w:tc>
          <w:tcPr>
            <w:tcW w:w="1875" w:type="pct"/>
            <w:shd w:val="clear" w:color="auto" w:fill="auto"/>
            <w:vAlign w:val="center"/>
          </w:tcPr>
          <w:p w14:paraId="6DB00EA9" w14:textId="7B12D144"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5473A93A"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0BCD4DB" w14:textId="6DAC13F8"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73EAA3A" w14:textId="40E06BAB"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253E8A" w:rsidRPr="00A90AB7" w14:paraId="5AE0FE5D" w14:textId="77777777" w:rsidTr="00253E8A">
        <w:tc>
          <w:tcPr>
            <w:tcW w:w="1875" w:type="pct"/>
            <w:shd w:val="clear" w:color="auto" w:fill="auto"/>
            <w:vAlign w:val="center"/>
          </w:tcPr>
          <w:p w14:paraId="3FAA0781" w14:textId="5850A4B8" w:rsidR="00253E8A" w:rsidRPr="00A90AB7" w:rsidRDefault="00253E8A" w:rsidP="00253E8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78EEBA99" w14:textId="00FB961B" w:rsidR="00253E8A" w:rsidRPr="00A90AB7" w:rsidRDefault="00253E8A" w:rsidP="00253E8A">
            <w:pPr>
              <w:tabs>
                <w:tab w:val="left" w:pos="540"/>
              </w:tabs>
              <w:spacing w:after="0" w:line="240" w:lineRule="auto"/>
              <w:ind w:right="58"/>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71</w:t>
            </w:r>
          </w:p>
        </w:tc>
        <w:tc>
          <w:tcPr>
            <w:tcW w:w="1024" w:type="pct"/>
            <w:shd w:val="clear" w:color="auto" w:fill="auto"/>
            <w:vAlign w:val="center"/>
          </w:tcPr>
          <w:p w14:paraId="79797E82" w14:textId="56D9ED34" w:rsidR="00253E8A" w:rsidRPr="00A90AB7" w:rsidRDefault="00253E8A" w:rsidP="00253E8A">
            <w:pPr>
              <w:tabs>
                <w:tab w:val="left" w:pos="540"/>
              </w:tabs>
              <w:spacing w:after="0" w:line="240" w:lineRule="auto"/>
              <w:ind w:left="58" w:right="58"/>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60</w:t>
            </w:r>
          </w:p>
        </w:tc>
        <w:tc>
          <w:tcPr>
            <w:tcW w:w="1127" w:type="pct"/>
            <w:shd w:val="clear" w:color="auto" w:fill="auto"/>
            <w:vAlign w:val="center"/>
          </w:tcPr>
          <w:p w14:paraId="44F7360A" w14:textId="6D2DDCE9" w:rsidR="00253E8A" w:rsidRPr="00253E8A" w:rsidRDefault="00253E8A" w:rsidP="00253E8A">
            <w:pPr>
              <w:tabs>
                <w:tab w:val="left" w:pos="540"/>
              </w:tabs>
              <w:spacing w:after="0" w:line="240" w:lineRule="auto"/>
              <w:ind w:left="58" w:right="58"/>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59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40</w:t>
            </w:r>
          </w:p>
        </w:tc>
      </w:tr>
      <w:tr w:rsidR="00253E8A" w:rsidRPr="00A90AB7" w14:paraId="275BF76B" w14:textId="77777777" w:rsidTr="00253E8A">
        <w:tc>
          <w:tcPr>
            <w:tcW w:w="1875" w:type="pct"/>
            <w:shd w:val="clear" w:color="auto" w:fill="auto"/>
            <w:vAlign w:val="center"/>
          </w:tcPr>
          <w:p w14:paraId="048B22BC" w14:textId="34AAB21A" w:rsidR="00253E8A" w:rsidRPr="00A90AB7" w:rsidRDefault="00253E8A" w:rsidP="00253E8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68C03DD1" w14:textId="4CF38BD4" w:rsidR="00253E8A" w:rsidRPr="00A90AB7" w:rsidRDefault="00253E8A" w:rsidP="00253E8A">
            <w:pPr>
              <w:tabs>
                <w:tab w:val="left" w:pos="540"/>
              </w:tabs>
              <w:spacing w:after="0" w:line="240" w:lineRule="auto"/>
              <w:ind w:left="58" w:right="58"/>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71</w:t>
            </w:r>
          </w:p>
        </w:tc>
        <w:tc>
          <w:tcPr>
            <w:tcW w:w="1024" w:type="pct"/>
            <w:shd w:val="clear" w:color="auto" w:fill="auto"/>
            <w:vAlign w:val="center"/>
          </w:tcPr>
          <w:p w14:paraId="32106B9E" w14:textId="0A462E5C" w:rsidR="00253E8A" w:rsidRPr="00A90AB7" w:rsidRDefault="00253E8A" w:rsidP="00253E8A">
            <w:pPr>
              <w:tabs>
                <w:tab w:val="left" w:pos="540"/>
              </w:tabs>
              <w:spacing w:after="0" w:line="240" w:lineRule="auto"/>
              <w:ind w:left="58" w:right="58"/>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54</w:t>
            </w:r>
          </w:p>
        </w:tc>
        <w:tc>
          <w:tcPr>
            <w:tcW w:w="1127" w:type="pct"/>
            <w:shd w:val="clear" w:color="auto" w:fill="auto"/>
            <w:vAlign w:val="center"/>
          </w:tcPr>
          <w:p w14:paraId="3AFD6D6E" w14:textId="164647B8" w:rsidR="00253E8A" w:rsidRPr="00253E8A" w:rsidRDefault="00253E8A" w:rsidP="00253E8A">
            <w:pPr>
              <w:tabs>
                <w:tab w:val="left" w:pos="540"/>
              </w:tabs>
              <w:spacing w:after="0" w:line="240" w:lineRule="auto"/>
              <w:ind w:left="58" w:right="58"/>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8</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85</w:t>
            </w:r>
          </w:p>
        </w:tc>
      </w:tr>
      <w:tr w:rsidR="008D0C99" w:rsidRPr="00A90AB7" w14:paraId="331CA308" w14:textId="77777777" w:rsidTr="00A83802">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FC7561C" w:rsidR="00753C12" w:rsidRDefault="008D0C99" w:rsidP="0007578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42874E21" w14:textId="55871EAA" w:rsidR="003E0EF5" w:rsidRDefault="00330319" w:rsidP="000C67AE">
      <w:pPr>
        <w:shd w:val="clear" w:color="auto" w:fill="FFFFFF"/>
        <w:tabs>
          <w:tab w:val="left" w:pos="540"/>
        </w:tabs>
        <w:spacing w:before="120" w:after="0" w:line="240" w:lineRule="auto"/>
        <w:jc w:val="both"/>
        <w:rPr>
          <w:noProof/>
        </w:rPr>
      </w:pPr>
      <w:r>
        <w:rPr>
          <w:noProof/>
        </w:rPr>
        <w:lastRenderedPageBreak/>
        <w:drawing>
          <wp:inline distT="0" distB="0" distL="0" distR="0" wp14:anchorId="3BB047C2" wp14:editId="7E2D5768">
            <wp:extent cx="5943600" cy="4536935"/>
            <wp:effectExtent l="0" t="0" r="0" b="16510"/>
            <wp:docPr id="412387757"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4"/>
        <w:gridCol w:w="2073"/>
        <w:gridCol w:w="2159"/>
        <w:gridCol w:w="1798"/>
      </w:tblGrid>
      <w:tr w:rsidR="007B27C8" w:rsidRPr="00A90AB7" w14:paraId="7E5D6D88" w14:textId="77777777" w:rsidTr="0009649C">
        <w:tc>
          <w:tcPr>
            <w:tcW w:w="1777" w:type="pct"/>
            <w:shd w:val="clear" w:color="auto" w:fill="auto"/>
          </w:tcPr>
          <w:p w14:paraId="722817B1"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108" w:type="pct"/>
            <w:shd w:val="clear" w:color="auto" w:fill="auto"/>
            <w:vAlign w:val="center"/>
          </w:tcPr>
          <w:p w14:paraId="0721DC7D" w14:textId="6A134AE2" w:rsidR="007B27C8" w:rsidRPr="00D20DF1" w:rsidRDefault="00D20DF1"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sidR="002863A4">
              <w:rPr>
                <w:rFonts w:ascii="Times New Roman" w:eastAsia="Times New Roman" w:hAnsi="Times New Roman"/>
                <w:bCs/>
                <w:sz w:val="24"/>
                <w:szCs w:val="24"/>
                <w:lang w:val="nl-NL"/>
              </w:rPr>
              <w:t>0</w:t>
            </w:r>
            <w:r w:rsidRPr="00D20DF1">
              <w:rPr>
                <w:rFonts w:ascii="Times New Roman" w:eastAsia="Times New Roman" w:hAnsi="Times New Roman"/>
                <w:bCs/>
                <w:sz w:val="24"/>
                <w:szCs w:val="24"/>
                <w:lang w:val="nl-NL"/>
              </w:rPr>
              <w:t>/</w:t>
            </w:r>
            <w:r w:rsidR="008454EB">
              <w:rPr>
                <w:rFonts w:ascii="Times New Roman" w:eastAsia="Times New Roman" w:hAnsi="Times New Roman"/>
                <w:bCs/>
                <w:sz w:val="24"/>
                <w:szCs w:val="24"/>
                <w:lang w:val="nl-NL"/>
              </w:rPr>
              <w:t>0</w:t>
            </w:r>
            <w:r w:rsidR="002863A4">
              <w:rPr>
                <w:rFonts w:ascii="Times New Roman" w:eastAsia="Times New Roman" w:hAnsi="Times New Roman"/>
                <w:bCs/>
                <w:sz w:val="24"/>
                <w:szCs w:val="24"/>
                <w:lang w:val="nl-NL"/>
              </w:rPr>
              <w:t>6</w:t>
            </w:r>
            <w:r w:rsidR="007B27C8" w:rsidRPr="00D20DF1">
              <w:rPr>
                <w:rFonts w:ascii="Times New Roman" w:eastAsia="Times New Roman" w:hAnsi="Times New Roman"/>
                <w:bCs/>
                <w:sz w:val="24"/>
                <w:szCs w:val="24"/>
                <w:lang w:val="nl-NL"/>
              </w:rPr>
              <w:t>/202</w:t>
            </w:r>
            <w:r w:rsidR="008454EB">
              <w:rPr>
                <w:rFonts w:ascii="Times New Roman" w:eastAsia="Times New Roman" w:hAnsi="Times New Roman"/>
                <w:bCs/>
                <w:sz w:val="24"/>
                <w:szCs w:val="24"/>
                <w:lang w:val="nl-NL"/>
              </w:rPr>
              <w:t>4</w:t>
            </w:r>
          </w:p>
        </w:tc>
        <w:tc>
          <w:tcPr>
            <w:tcW w:w="1154" w:type="pct"/>
            <w:shd w:val="clear" w:color="auto" w:fill="auto"/>
            <w:vAlign w:val="center"/>
          </w:tcPr>
          <w:p w14:paraId="39144C33" w14:textId="4F13AE15" w:rsidR="007B27C8" w:rsidRPr="00D20DF1" w:rsidRDefault="008454EB"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w:t>
            </w:r>
            <w:r w:rsidR="002863A4">
              <w:rPr>
                <w:rFonts w:ascii="Times New Roman" w:eastAsia="Times New Roman" w:hAnsi="Times New Roman"/>
                <w:bCs/>
                <w:sz w:val="24"/>
                <w:szCs w:val="24"/>
                <w:lang w:val="nl-NL"/>
              </w:rPr>
              <w:t>0</w:t>
            </w:r>
            <w:r w:rsidRPr="00D20DF1">
              <w:rPr>
                <w:rFonts w:ascii="Times New Roman" w:eastAsia="Times New Roman" w:hAnsi="Times New Roman"/>
                <w:bCs/>
                <w:sz w:val="24"/>
                <w:szCs w:val="24"/>
                <w:lang w:val="nl-NL"/>
              </w:rPr>
              <w:t>/</w:t>
            </w:r>
            <w:r>
              <w:rPr>
                <w:rFonts w:ascii="Times New Roman" w:eastAsia="Times New Roman" w:hAnsi="Times New Roman"/>
                <w:bCs/>
                <w:sz w:val="24"/>
                <w:szCs w:val="24"/>
                <w:lang w:val="nl-NL"/>
              </w:rPr>
              <w:t>0</w:t>
            </w:r>
            <w:r w:rsidR="002863A4">
              <w:rPr>
                <w:rFonts w:ascii="Times New Roman" w:eastAsia="Times New Roman" w:hAnsi="Times New Roman"/>
                <w:bCs/>
                <w:sz w:val="24"/>
                <w:szCs w:val="24"/>
                <w:lang w:val="nl-NL"/>
              </w:rPr>
              <w:t>6</w:t>
            </w:r>
            <w:r w:rsidRPr="00D20DF1">
              <w:rPr>
                <w:rFonts w:ascii="Times New Roman" w:eastAsia="Times New Roman" w:hAnsi="Times New Roman"/>
                <w:bCs/>
                <w:sz w:val="24"/>
                <w:szCs w:val="24"/>
                <w:lang w:val="nl-NL"/>
              </w:rPr>
              <w:t>/202</w:t>
            </w:r>
            <w:r>
              <w:rPr>
                <w:rFonts w:ascii="Times New Roman" w:eastAsia="Times New Roman" w:hAnsi="Times New Roman"/>
                <w:bCs/>
                <w:sz w:val="24"/>
                <w:szCs w:val="24"/>
                <w:lang w:val="nl-NL"/>
              </w:rPr>
              <w:t>3</w:t>
            </w:r>
          </w:p>
        </w:tc>
        <w:tc>
          <w:tcPr>
            <w:tcW w:w="961" w:type="pct"/>
            <w:shd w:val="clear" w:color="auto" w:fill="auto"/>
          </w:tcPr>
          <w:p w14:paraId="5ABC217C" w14:textId="70B2B13C"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r w:rsidR="00C02674">
              <w:rPr>
                <w:rFonts w:ascii="Times New Roman" w:eastAsia="Times New Roman" w:hAnsi="Times New Roman"/>
                <w:sz w:val="24"/>
                <w:szCs w:val="24"/>
                <w:lang w:val="nl-NL"/>
              </w:rPr>
              <w:t xml:space="preserve"> (%)</w:t>
            </w:r>
          </w:p>
        </w:tc>
      </w:tr>
      <w:tr w:rsidR="00253E8A" w:rsidRPr="00A90AB7" w14:paraId="252D09D8" w14:textId="77777777" w:rsidTr="00F75C5B">
        <w:tc>
          <w:tcPr>
            <w:tcW w:w="1777" w:type="pct"/>
            <w:shd w:val="clear" w:color="auto" w:fill="auto"/>
          </w:tcPr>
          <w:p w14:paraId="613FF24A" w14:textId="77777777" w:rsidR="00253E8A" w:rsidRPr="00A90AB7" w:rsidRDefault="00253E8A" w:rsidP="00253E8A">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108" w:type="pct"/>
            <w:shd w:val="clear" w:color="auto" w:fill="auto"/>
          </w:tcPr>
          <w:p w14:paraId="6D3EF2B2" w14:textId="258F2CF5" w:rsidR="00253E8A" w:rsidRPr="00F61CFC" w:rsidRDefault="00253E8A" w:rsidP="00B36EDD">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122</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339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948</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591</w:t>
            </w:r>
          </w:p>
        </w:tc>
        <w:tc>
          <w:tcPr>
            <w:tcW w:w="1154" w:type="pct"/>
            <w:shd w:val="clear" w:color="auto" w:fill="auto"/>
          </w:tcPr>
          <w:p w14:paraId="22F1937F" w14:textId="59634F72" w:rsidR="00253E8A" w:rsidRPr="00F61CFC" w:rsidRDefault="00253E8A" w:rsidP="00B36EDD">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148</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177</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606</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978</w:t>
            </w:r>
          </w:p>
        </w:tc>
        <w:tc>
          <w:tcPr>
            <w:tcW w:w="961" w:type="pct"/>
            <w:shd w:val="clear" w:color="auto" w:fill="auto"/>
          </w:tcPr>
          <w:p w14:paraId="28B43A4B" w14:textId="67CF93D5" w:rsidR="00253E8A" w:rsidRPr="00F61CFC" w:rsidRDefault="00253E8A" w:rsidP="00B36EDD">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-17</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44</w:t>
            </w:r>
          </w:p>
        </w:tc>
      </w:tr>
      <w:tr w:rsidR="00253E8A" w:rsidRPr="001330FC" w14:paraId="06B82A64" w14:textId="77777777" w:rsidTr="00F75C5B">
        <w:tc>
          <w:tcPr>
            <w:tcW w:w="1777" w:type="pct"/>
            <w:shd w:val="clear" w:color="auto" w:fill="auto"/>
          </w:tcPr>
          <w:p w14:paraId="4BDF5898" w14:textId="77777777" w:rsidR="00253E8A" w:rsidRPr="001330FC" w:rsidRDefault="00253E8A" w:rsidP="00253E8A">
            <w:pPr>
              <w:tabs>
                <w:tab w:val="left" w:pos="540"/>
              </w:tabs>
              <w:spacing w:before="120" w:after="0" w:line="240" w:lineRule="auto"/>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NAV trên 1 CCQ (“NAV/CCQ”)</w:t>
            </w:r>
          </w:p>
        </w:tc>
        <w:tc>
          <w:tcPr>
            <w:tcW w:w="1108" w:type="pct"/>
            <w:shd w:val="clear" w:color="auto" w:fill="auto"/>
          </w:tcPr>
          <w:p w14:paraId="525690BD" w14:textId="598B3FED" w:rsidR="00253E8A" w:rsidRPr="001330FC" w:rsidRDefault="00253E8A" w:rsidP="00B36EDD">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939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53</w:t>
            </w:r>
          </w:p>
        </w:tc>
        <w:tc>
          <w:tcPr>
            <w:tcW w:w="1154" w:type="pct"/>
            <w:shd w:val="clear" w:color="auto" w:fill="auto"/>
          </w:tcPr>
          <w:p w14:paraId="5DFB947A" w14:textId="4930E8C9" w:rsidR="00253E8A" w:rsidRPr="001330FC" w:rsidRDefault="00253E8A" w:rsidP="00B36EDD">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13</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315</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12</w:t>
            </w:r>
          </w:p>
        </w:tc>
        <w:tc>
          <w:tcPr>
            <w:tcW w:w="961" w:type="pct"/>
            <w:shd w:val="clear" w:color="auto" w:fill="auto"/>
          </w:tcPr>
          <w:p w14:paraId="177BE2CA" w14:textId="10D59277" w:rsidR="00253E8A" w:rsidRPr="001330FC" w:rsidRDefault="00253E8A" w:rsidP="00B36EDD">
            <w:pPr>
              <w:tabs>
                <w:tab w:val="left" w:pos="540"/>
              </w:tabs>
              <w:spacing w:before="120" w:after="0" w:line="240" w:lineRule="auto"/>
              <w:jc w:val="center"/>
              <w:rPr>
                <w:rFonts w:ascii="Times New Roman" w:eastAsia="Times New Roman" w:hAnsi="Times New Roman"/>
                <w:sz w:val="24"/>
                <w:szCs w:val="24"/>
                <w:lang w:val="nl-NL"/>
              </w:rPr>
            </w:pPr>
            <w:r w:rsidRPr="00253E8A">
              <w:rPr>
                <w:rFonts w:ascii="Times New Roman" w:eastAsia="Times New Roman" w:hAnsi="Times New Roman"/>
                <w:sz w:val="24"/>
                <w:szCs w:val="24"/>
                <w:lang w:val="nl-NL"/>
              </w:rPr>
              <w:t>19</w:t>
            </w:r>
            <w:r>
              <w:rPr>
                <w:rFonts w:ascii="Times New Roman" w:eastAsia="Times New Roman" w:hAnsi="Times New Roman"/>
                <w:sz w:val="24"/>
                <w:szCs w:val="24"/>
                <w:lang w:val="nl-NL"/>
              </w:rPr>
              <w:t>,</w:t>
            </w:r>
            <w:r w:rsidRPr="00253E8A">
              <w:rPr>
                <w:rFonts w:ascii="Times New Roman" w:eastAsia="Times New Roman" w:hAnsi="Times New Roman"/>
                <w:sz w:val="24"/>
                <w:szCs w:val="24"/>
                <w:lang w:val="nl-NL"/>
              </w:rPr>
              <w:t>71</w:t>
            </w:r>
          </w:p>
        </w:tc>
      </w:tr>
    </w:tbl>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273E57">
        <w:rPr>
          <w:rFonts w:ascii="Times New Roman" w:hAnsi="Times New Roman"/>
          <w:b/>
          <w:sz w:val="24"/>
          <w:szCs w:val="24"/>
          <w:lang w:val="nl-NL"/>
        </w:rPr>
        <w:t xml:space="preserve">4.2. Thống kê về Nhà đầu tư nắm giữ Chứng chỉ </w:t>
      </w:r>
      <w:r w:rsidR="008F2B2D" w:rsidRPr="00273E57">
        <w:rPr>
          <w:rFonts w:ascii="Times New Roman" w:hAnsi="Times New Roman"/>
          <w:b/>
          <w:sz w:val="24"/>
          <w:szCs w:val="24"/>
          <w:lang w:val="nl-NL"/>
        </w:rPr>
        <w:t>Q</w:t>
      </w:r>
      <w:r w:rsidRPr="00273E57">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1985"/>
        <w:gridCol w:w="2692"/>
        <w:gridCol w:w="1696"/>
      </w:tblGrid>
      <w:tr w:rsidR="00A90AB7" w:rsidRPr="00A90AB7" w14:paraId="3BCC7EEC" w14:textId="77777777" w:rsidTr="006F7C5E">
        <w:trPr>
          <w:trHeight w:val="525"/>
        </w:trPr>
        <w:tc>
          <w:tcPr>
            <w:tcW w:w="2967" w:type="dxa"/>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r w:rsidRPr="00A90AB7">
              <w:rPr>
                <w:rFonts w:ascii="Times New Roman" w:hAnsi="Times New Roman"/>
                <w:b/>
                <w:sz w:val="24"/>
                <w:szCs w:val="24"/>
              </w:rPr>
              <w:t xml:space="preserve">Quy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1D1DB5" w:rsidRPr="00A90AB7" w14:paraId="5AC8833F" w14:textId="77777777" w:rsidTr="00583437">
        <w:trPr>
          <w:trHeight w:val="315"/>
        </w:trPr>
        <w:tc>
          <w:tcPr>
            <w:tcW w:w="2967" w:type="dxa"/>
            <w:shd w:val="clear" w:color="auto" w:fill="auto"/>
            <w:hideMark/>
          </w:tcPr>
          <w:p w14:paraId="33BF8D42" w14:textId="04CBFFAB" w:rsidR="001D1DB5" w:rsidRPr="00A90AB7" w:rsidRDefault="001D1DB5" w:rsidP="001D1DB5">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569AE133" w14:textId="4B4AF247"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1</w:t>
            </w:r>
            <w:r>
              <w:rPr>
                <w:rFonts w:ascii="Times New Roman" w:hAnsi="Times New Roman"/>
                <w:sz w:val="24"/>
                <w:szCs w:val="24"/>
              </w:rPr>
              <w:t>.</w:t>
            </w:r>
            <w:r w:rsidRPr="00581FF5">
              <w:rPr>
                <w:rFonts w:ascii="Times New Roman" w:hAnsi="Times New Roman"/>
                <w:sz w:val="24"/>
                <w:szCs w:val="24"/>
              </w:rPr>
              <w:t>928</w:t>
            </w:r>
          </w:p>
        </w:tc>
        <w:tc>
          <w:tcPr>
            <w:tcW w:w="2692" w:type="dxa"/>
            <w:shd w:val="clear" w:color="auto" w:fill="auto"/>
          </w:tcPr>
          <w:p w14:paraId="0EBE36E9" w14:textId="153D744C"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1.260.178,12</w:t>
            </w:r>
          </w:p>
        </w:tc>
        <w:tc>
          <w:tcPr>
            <w:tcW w:w="1696" w:type="dxa"/>
            <w:shd w:val="clear" w:color="auto" w:fill="auto"/>
            <w:vAlign w:val="center"/>
          </w:tcPr>
          <w:p w14:paraId="324D4E7B" w14:textId="71A34DAA"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16,42</w:t>
            </w:r>
          </w:p>
        </w:tc>
      </w:tr>
      <w:tr w:rsidR="001D1DB5" w:rsidRPr="00A90AB7" w14:paraId="112DFD1E" w14:textId="77777777" w:rsidTr="00583437">
        <w:trPr>
          <w:trHeight w:val="315"/>
        </w:trPr>
        <w:tc>
          <w:tcPr>
            <w:tcW w:w="2967" w:type="dxa"/>
            <w:shd w:val="clear" w:color="auto" w:fill="auto"/>
            <w:hideMark/>
          </w:tcPr>
          <w:p w14:paraId="595FFB6D" w14:textId="1614F4E7" w:rsidR="001D1DB5" w:rsidRPr="00A90AB7" w:rsidRDefault="001D1DB5" w:rsidP="001D1DB5">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523D61E2" w14:textId="20E76C98"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101</w:t>
            </w:r>
          </w:p>
        </w:tc>
        <w:tc>
          <w:tcPr>
            <w:tcW w:w="2692" w:type="dxa"/>
            <w:shd w:val="clear" w:color="auto" w:fill="auto"/>
          </w:tcPr>
          <w:p w14:paraId="17E0FA6A" w14:textId="693DC42E"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669.617,51</w:t>
            </w:r>
          </w:p>
        </w:tc>
        <w:tc>
          <w:tcPr>
            <w:tcW w:w="1696" w:type="dxa"/>
            <w:shd w:val="clear" w:color="auto" w:fill="auto"/>
            <w:vAlign w:val="center"/>
          </w:tcPr>
          <w:p w14:paraId="2CF369C9" w14:textId="019C0510"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8,72</w:t>
            </w:r>
          </w:p>
        </w:tc>
      </w:tr>
      <w:tr w:rsidR="001D1DB5" w:rsidRPr="00A90AB7" w14:paraId="33F2F3B6" w14:textId="77777777" w:rsidTr="00583437">
        <w:trPr>
          <w:trHeight w:val="315"/>
        </w:trPr>
        <w:tc>
          <w:tcPr>
            <w:tcW w:w="2967" w:type="dxa"/>
            <w:shd w:val="clear" w:color="auto" w:fill="auto"/>
            <w:hideMark/>
          </w:tcPr>
          <w:p w14:paraId="2C542B1C" w14:textId="58E5B935" w:rsidR="001D1DB5" w:rsidRPr="00A90AB7" w:rsidRDefault="001D1DB5" w:rsidP="001D1DB5">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3406A864" w14:textId="597ADCF3"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83</w:t>
            </w:r>
          </w:p>
        </w:tc>
        <w:tc>
          <w:tcPr>
            <w:tcW w:w="2692" w:type="dxa"/>
            <w:shd w:val="clear" w:color="auto" w:fill="auto"/>
          </w:tcPr>
          <w:p w14:paraId="7E76C849" w14:textId="597B4193"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1.502.401,06</w:t>
            </w:r>
          </w:p>
        </w:tc>
        <w:tc>
          <w:tcPr>
            <w:tcW w:w="1696" w:type="dxa"/>
            <w:shd w:val="clear" w:color="auto" w:fill="auto"/>
            <w:vAlign w:val="center"/>
          </w:tcPr>
          <w:p w14:paraId="2DEE8F0F" w14:textId="688F8DE6"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19,57</w:t>
            </w:r>
          </w:p>
        </w:tc>
      </w:tr>
      <w:tr w:rsidR="001D1DB5" w:rsidRPr="00A90AB7" w14:paraId="53AAF433" w14:textId="77777777" w:rsidTr="00583437">
        <w:trPr>
          <w:trHeight w:val="315"/>
        </w:trPr>
        <w:tc>
          <w:tcPr>
            <w:tcW w:w="2967" w:type="dxa"/>
            <w:shd w:val="clear" w:color="auto" w:fill="auto"/>
            <w:hideMark/>
          </w:tcPr>
          <w:p w14:paraId="0A7C6EFA" w14:textId="4DCE5437" w:rsidR="001D1DB5" w:rsidRPr="00A90AB7" w:rsidRDefault="001D1DB5" w:rsidP="001D1DB5">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62BA28D6" w14:textId="6643A72A"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6</w:t>
            </w:r>
          </w:p>
        </w:tc>
        <w:tc>
          <w:tcPr>
            <w:tcW w:w="2692" w:type="dxa"/>
            <w:shd w:val="clear" w:color="auto" w:fill="auto"/>
          </w:tcPr>
          <w:p w14:paraId="1ABD868A" w14:textId="4C70E4B4"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708.251,05</w:t>
            </w:r>
          </w:p>
        </w:tc>
        <w:tc>
          <w:tcPr>
            <w:tcW w:w="1696" w:type="dxa"/>
            <w:shd w:val="clear" w:color="auto" w:fill="auto"/>
            <w:vAlign w:val="center"/>
          </w:tcPr>
          <w:p w14:paraId="73DF2C14" w14:textId="22029D31"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9,23</w:t>
            </w:r>
          </w:p>
        </w:tc>
      </w:tr>
      <w:tr w:rsidR="001D1DB5" w:rsidRPr="00A90AB7" w14:paraId="656817C8" w14:textId="77777777" w:rsidTr="00583437">
        <w:trPr>
          <w:trHeight w:val="315"/>
        </w:trPr>
        <w:tc>
          <w:tcPr>
            <w:tcW w:w="2967" w:type="dxa"/>
            <w:shd w:val="clear" w:color="auto" w:fill="auto"/>
            <w:hideMark/>
          </w:tcPr>
          <w:p w14:paraId="606728F5" w14:textId="2D9F124B" w:rsidR="001D1DB5" w:rsidRPr="00A90AB7" w:rsidRDefault="001D1DB5" w:rsidP="001D1DB5">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Pr>
                <w:rFonts w:ascii="Times New Roman" w:hAnsi="Times New Roman"/>
                <w:sz w:val="24"/>
                <w:szCs w:val="24"/>
              </w:rPr>
              <w:t>,</w:t>
            </w:r>
            <w:r w:rsidRPr="00A90AB7">
              <w:rPr>
                <w:rFonts w:ascii="Times New Roman" w:hAnsi="Times New Roman"/>
                <w:sz w:val="24"/>
                <w:szCs w:val="24"/>
              </w:rPr>
              <w:t>000</w:t>
            </w:r>
          </w:p>
        </w:tc>
        <w:tc>
          <w:tcPr>
            <w:tcW w:w="1985" w:type="dxa"/>
            <w:shd w:val="clear" w:color="auto" w:fill="auto"/>
          </w:tcPr>
          <w:p w14:paraId="709B3670" w14:textId="5955256F"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1</w:t>
            </w:r>
          </w:p>
        </w:tc>
        <w:tc>
          <w:tcPr>
            <w:tcW w:w="2692" w:type="dxa"/>
            <w:shd w:val="clear" w:color="auto" w:fill="auto"/>
          </w:tcPr>
          <w:p w14:paraId="0D84550F" w14:textId="3289FBDA"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3.534.805,46</w:t>
            </w:r>
          </w:p>
        </w:tc>
        <w:tc>
          <w:tcPr>
            <w:tcW w:w="1696" w:type="dxa"/>
            <w:shd w:val="clear" w:color="auto" w:fill="auto"/>
            <w:vAlign w:val="center"/>
          </w:tcPr>
          <w:p w14:paraId="28BFE95B" w14:textId="728F9C94" w:rsidR="001D1DB5" w:rsidRPr="00C02674" w:rsidRDefault="001D1DB5" w:rsidP="001D1DB5">
            <w:pPr>
              <w:spacing w:after="0" w:line="240" w:lineRule="auto"/>
              <w:jc w:val="right"/>
              <w:rPr>
                <w:rFonts w:ascii="Times New Roman" w:hAnsi="Times New Roman"/>
                <w:sz w:val="24"/>
                <w:szCs w:val="24"/>
              </w:rPr>
            </w:pPr>
            <w:r w:rsidRPr="00581FF5">
              <w:rPr>
                <w:rFonts w:ascii="Times New Roman" w:hAnsi="Times New Roman"/>
                <w:sz w:val="24"/>
                <w:szCs w:val="24"/>
              </w:rPr>
              <w:t>46,05</w:t>
            </w:r>
          </w:p>
        </w:tc>
      </w:tr>
      <w:tr w:rsidR="001D1DB5" w:rsidRPr="00A90AB7" w14:paraId="7A11D66F" w14:textId="77777777" w:rsidTr="006F7C5E">
        <w:trPr>
          <w:trHeight w:val="315"/>
        </w:trPr>
        <w:tc>
          <w:tcPr>
            <w:tcW w:w="2967" w:type="dxa"/>
            <w:shd w:val="clear" w:color="auto" w:fill="auto"/>
            <w:hideMark/>
          </w:tcPr>
          <w:p w14:paraId="656537AF" w14:textId="635B3763" w:rsidR="001D1DB5" w:rsidRPr="00A90AB7" w:rsidRDefault="001D1DB5" w:rsidP="001D1DB5">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shd w:val="clear" w:color="auto" w:fill="auto"/>
          </w:tcPr>
          <w:p w14:paraId="77162138" w14:textId="0A76D76D" w:rsidR="001D1DB5" w:rsidRPr="006F7C5E" w:rsidRDefault="001D1DB5" w:rsidP="001D1DB5">
            <w:pPr>
              <w:spacing w:after="0" w:line="240" w:lineRule="auto"/>
              <w:jc w:val="right"/>
              <w:rPr>
                <w:rFonts w:ascii="Times New Roman" w:hAnsi="Times New Roman"/>
                <w:b/>
                <w:bCs/>
                <w:sz w:val="24"/>
                <w:szCs w:val="24"/>
              </w:rPr>
            </w:pPr>
            <w:r w:rsidRPr="00581FF5">
              <w:rPr>
                <w:rFonts w:ascii="Times New Roman" w:hAnsi="Times New Roman"/>
                <w:b/>
                <w:bCs/>
                <w:sz w:val="24"/>
                <w:szCs w:val="24"/>
              </w:rPr>
              <w:t>2</w:t>
            </w:r>
            <w:r>
              <w:rPr>
                <w:rFonts w:ascii="Times New Roman" w:hAnsi="Times New Roman"/>
                <w:b/>
                <w:bCs/>
                <w:sz w:val="24"/>
                <w:szCs w:val="24"/>
              </w:rPr>
              <w:t>.</w:t>
            </w:r>
            <w:r w:rsidRPr="00581FF5">
              <w:rPr>
                <w:rFonts w:ascii="Times New Roman" w:hAnsi="Times New Roman"/>
                <w:b/>
                <w:bCs/>
                <w:sz w:val="24"/>
                <w:szCs w:val="24"/>
              </w:rPr>
              <w:t>119</w:t>
            </w:r>
          </w:p>
        </w:tc>
        <w:tc>
          <w:tcPr>
            <w:tcW w:w="2692" w:type="dxa"/>
            <w:shd w:val="clear" w:color="auto" w:fill="auto"/>
          </w:tcPr>
          <w:p w14:paraId="270549B9" w14:textId="0C33153E" w:rsidR="001D1DB5" w:rsidRPr="006F7C5E" w:rsidRDefault="001D1DB5" w:rsidP="001D1DB5">
            <w:pPr>
              <w:spacing w:after="0" w:line="240" w:lineRule="auto"/>
              <w:jc w:val="right"/>
              <w:rPr>
                <w:rFonts w:ascii="Times New Roman" w:hAnsi="Times New Roman"/>
                <w:b/>
                <w:bCs/>
                <w:sz w:val="24"/>
                <w:szCs w:val="24"/>
              </w:rPr>
            </w:pPr>
            <w:r w:rsidRPr="00581FF5">
              <w:rPr>
                <w:rFonts w:ascii="Times New Roman" w:hAnsi="Times New Roman"/>
                <w:b/>
                <w:bCs/>
                <w:sz w:val="24"/>
                <w:szCs w:val="24"/>
              </w:rPr>
              <w:t>7.675.253,20</w:t>
            </w:r>
          </w:p>
        </w:tc>
        <w:tc>
          <w:tcPr>
            <w:tcW w:w="1696" w:type="dxa"/>
            <w:shd w:val="clear" w:color="auto" w:fill="auto"/>
          </w:tcPr>
          <w:p w14:paraId="10E9F2BC" w14:textId="2A550071" w:rsidR="001D1DB5" w:rsidRPr="006F7C5E" w:rsidRDefault="001D1DB5" w:rsidP="001D1DB5">
            <w:pPr>
              <w:spacing w:after="0" w:line="240" w:lineRule="auto"/>
              <w:jc w:val="right"/>
              <w:rPr>
                <w:rFonts w:ascii="Times New Roman" w:hAnsi="Times New Roman"/>
                <w:b/>
                <w:bCs/>
                <w:sz w:val="24"/>
                <w:szCs w:val="24"/>
              </w:rPr>
            </w:pPr>
            <w:r w:rsidRPr="006F7C5E">
              <w:rPr>
                <w:rFonts w:ascii="Times New Roman" w:hAnsi="Times New Roman"/>
                <w:b/>
                <w:bCs/>
                <w:sz w:val="24"/>
                <w:szCs w:val="24"/>
              </w:rPr>
              <w:t>100</w:t>
            </w:r>
            <w:r>
              <w:rPr>
                <w:rFonts w:ascii="Times New Roman" w:hAnsi="Times New Roman"/>
                <w:b/>
                <w:bCs/>
                <w:sz w:val="24"/>
                <w:szCs w:val="24"/>
              </w:rPr>
              <w:t>,</w:t>
            </w:r>
            <w:r w:rsidRPr="006F7C5E">
              <w:rPr>
                <w:rFonts w:ascii="Times New Roman" w:hAnsi="Times New Roman"/>
                <w:b/>
                <w:bCs/>
                <w:sz w:val="24"/>
                <w:szCs w:val="24"/>
              </w:rPr>
              <w:t>00</w:t>
            </w:r>
          </w:p>
        </w:tc>
      </w:tr>
    </w:tbl>
    <w:p w14:paraId="0F4E0075" w14:textId="77777777" w:rsidR="002058AC" w:rsidRDefault="002058AC"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0C47BCB2" w14:textId="77777777" w:rsidR="002058AC" w:rsidRDefault="002058AC"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5618EA" w14:textId="3E743CA8"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lastRenderedPageBreak/>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273E57">
        <w:rPr>
          <w:rFonts w:ascii="Times New Roman" w:hAnsi="Times New Roman"/>
          <w:b/>
          <w:sz w:val="24"/>
          <w:szCs w:val="24"/>
          <w:lang w:val="nl-NL"/>
        </w:rPr>
        <w:t>5</w:t>
      </w:r>
      <w:r w:rsidR="00BE6F63" w:rsidRPr="00273E57">
        <w:rPr>
          <w:rFonts w:ascii="Times New Roman" w:hAnsi="Times New Roman"/>
          <w:b/>
          <w:sz w:val="24"/>
          <w:szCs w:val="24"/>
          <w:lang w:val="nl-NL"/>
        </w:rPr>
        <w:t>. Thông tin về triển vọng thị trường</w:t>
      </w:r>
    </w:p>
    <w:p w14:paraId="7586EA1A" w14:textId="77777777" w:rsidR="00A34065" w:rsidRDefault="00A34065" w:rsidP="00A34065">
      <w:pPr>
        <w:shd w:val="clear" w:color="auto" w:fill="FFFFFF"/>
        <w:tabs>
          <w:tab w:val="left" w:pos="540"/>
        </w:tabs>
        <w:spacing w:before="120" w:after="0" w:line="240" w:lineRule="auto"/>
        <w:jc w:val="both"/>
        <w:rPr>
          <w:rFonts w:ascii="Times New Roman" w:hAnsi="Times New Roman"/>
          <w:sz w:val="24"/>
          <w:szCs w:val="24"/>
        </w:rPr>
      </w:pPr>
      <w:proofErr w:type="spellStart"/>
      <w:r w:rsidRPr="006A39DF">
        <w:rPr>
          <w:rFonts w:ascii="Times New Roman" w:hAnsi="Times New Roman"/>
          <w:sz w:val="24"/>
          <w:szCs w:val="24"/>
        </w:rPr>
        <w:t>Biểu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đồ</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dưới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thể</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hiện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diễn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biến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chỉ</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số</w:t>
      </w:r>
      <w:proofErr w:type="spellEnd"/>
      <w:r w:rsidRPr="006A39DF">
        <w:rPr>
          <w:rFonts w:ascii="Times New Roman" w:hAnsi="Times New Roman"/>
          <w:sz w:val="24"/>
          <w:szCs w:val="24"/>
        </w:rPr>
        <w:t xml:space="preserve"> VN-index (</w:t>
      </w:r>
      <w:proofErr w:type="spellStart"/>
      <w:r w:rsidRPr="006A39DF">
        <w:rPr>
          <w:rFonts w:ascii="Times New Roman" w:hAnsi="Times New Roman"/>
          <w:sz w:val="24"/>
          <w:szCs w:val="24"/>
        </w:rPr>
        <w:t>dây</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màu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xanh</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chiếu</w:t>
      </w:r>
      <w:proofErr w:type="spellEnd"/>
      <w:r w:rsidRPr="006A39DF">
        <w:rPr>
          <w:rFonts w:ascii="Times New Roman" w:hAnsi="Times New Roman"/>
          <w:sz w:val="24"/>
          <w:szCs w:val="24"/>
        </w:rPr>
        <w:t xml:space="preserve"> qua </w:t>
      </w:r>
      <w:proofErr w:type="spellStart"/>
      <w:r w:rsidRPr="006A39DF">
        <w:rPr>
          <w:rFonts w:ascii="Times New Roman" w:hAnsi="Times New Roman"/>
          <w:sz w:val="24"/>
          <w:szCs w:val="24"/>
        </w:rPr>
        <w:t>trục</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phải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và</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giá</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trị</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giao</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dịch</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cột</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màu</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đỏ</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chiếu</w:t>
      </w:r>
      <w:proofErr w:type="spellEnd"/>
      <w:r w:rsidRPr="006A39DF">
        <w:rPr>
          <w:rFonts w:ascii="Times New Roman" w:hAnsi="Times New Roman"/>
          <w:sz w:val="24"/>
          <w:szCs w:val="24"/>
        </w:rPr>
        <w:t xml:space="preserve"> qua </w:t>
      </w:r>
      <w:proofErr w:type="spellStart"/>
      <w:r w:rsidRPr="006A39DF">
        <w:rPr>
          <w:rFonts w:ascii="Times New Roman" w:hAnsi="Times New Roman"/>
          <w:sz w:val="24"/>
          <w:szCs w:val="24"/>
        </w:rPr>
        <w:t>trục</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bên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trái</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đơn</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vị</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tỷ</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đồng</w:t>
      </w:r>
      <w:proofErr w:type="spellEnd"/>
      <w:r w:rsidRPr="006A39DF">
        <w:rPr>
          <w:rFonts w:ascii="Times New Roman" w:hAnsi="Times New Roman"/>
          <w:sz w:val="24"/>
          <w:szCs w:val="24"/>
        </w:rPr>
        <w:t xml:space="preserve">/ </w:t>
      </w:r>
      <w:proofErr w:type="spellStart"/>
      <w:r w:rsidRPr="006A39DF">
        <w:rPr>
          <w:rFonts w:ascii="Times New Roman" w:hAnsi="Times New Roman"/>
          <w:sz w:val="24"/>
          <w:szCs w:val="24"/>
        </w:rPr>
        <w:t>ngày</w:t>
      </w:r>
      <w:proofErr w:type="spellEnd"/>
      <w:r w:rsidRPr="006A39DF">
        <w:rPr>
          <w:rFonts w:ascii="Times New Roman" w:hAnsi="Times New Roman"/>
          <w:sz w:val="24"/>
          <w:szCs w:val="24"/>
        </w:rPr>
        <w:t>)</w:t>
      </w:r>
    </w:p>
    <w:p w14:paraId="53CFCC00" w14:textId="77777777" w:rsidR="00A34065" w:rsidRDefault="00A34065" w:rsidP="00A34065">
      <w:pPr>
        <w:shd w:val="clear" w:color="auto" w:fill="FFFFFF"/>
        <w:tabs>
          <w:tab w:val="left" w:pos="540"/>
        </w:tabs>
        <w:spacing w:before="120" w:after="0" w:line="240" w:lineRule="auto"/>
        <w:jc w:val="both"/>
        <w:rPr>
          <w:rFonts w:ascii="Times New Roman" w:hAnsi="Times New Roman"/>
          <w:sz w:val="24"/>
          <w:szCs w:val="24"/>
        </w:rPr>
      </w:pPr>
      <w:r>
        <w:rPr>
          <w:noProof/>
        </w:rPr>
        <w:drawing>
          <wp:inline distT="0" distB="0" distL="0" distR="0" wp14:anchorId="1043E4AF" wp14:editId="17A8CE04">
            <wp:extent cx="6048375" cy="3519805"/>
            <wp:effectExtent l="0" t="0" r="9525" b="4445"/>
            <wp:docPr id="8" name="Picture 7">
              <a:extLst xmlns:a="http://schemas.openxmlformats.org/drawingml/2006/main">
                <a:ext uri="{FF2B5EF4-FFF2-40B4-BE49-F238E27FC236}">
                  <a16:creationId xmlns:a16="http://schemas.microsoft.com/office/drawing/2014/main" id="{0FEBF0D5-66A8-02A1-9993-8332A5A328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FEBF0D5-66A8-02A1-9993-8332A5A32821}"/>
                        </a:ext>
                      </a:extLst>
                    </pic:cNvPr>
                    <pic:cNvPicPr>
                      <a:picLocks noChangeAspect="1"/>
                    </pic:cNvPicPr>
                  </pic:nvPicPr>
                  <pic:blipFill>
                    <a:blip r:embed="rId7"/>
                    <a:stretch>
                      <a:fillRect/>
                    </a:stretch>
                  </pic:blipFill>
                  <pic:spPr>
                    <a:xfrm>
                      <a:off x="0" y="0"/>
                      <a:ext cx="6048375" cy="3519805"/>
                    </a:xfrm>
                    <a:prstGeom prst="rect">
                      <a:avLst/>
                    </a:prstGeom>
                  </pic:spPr>
                </pic:pic>
              </a:graphicData>
            </a:graphic>
          </wp:inline>
        </w:drawing>
      </w:r>
    </w:p>
    <w:p w14:paraId="65D1ECD8" w14:textId="3EF45F30" w:rsidR="00A34065" w:rsidRPr="00463E77" w:rsidRDefault="00A34065" w:rsidP="00A34065">
      <w:pPr>
        <w:shd w:val="clear" w:color="auto" w:fill="FFFFFF"/>
        <w:tabs>
          <w:tab w:val="left" w:pos="540"/>
        </w:tabs>
        <w:spacing w:before="120" w:after="0" w:line="240" w:lineRule="auto"/>
        <w:jc w:val="both"/>
        <w:rPr>
          <w:rFonts w:ascii="Times New Roman" w:hAnsi="Times New Roman"/>
          <w:sz w:val="24"/>
          <w:szCs w:val="24"/>
        </w:rPr>
      </w:pPr>
      <w:r w:rsidRPr="0083665A">
        <w:rPr>
          <w:rFonts w:ascii="Times New Roman" w:hAnsi="Times New Roman"/>
          <w:sz w:val="24"/>
          <w:szCs w:val="24"/>
        </w:rPr>
        <w:t xml:space="preserve">Thị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chứng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khoán</w:t>
      </w:r>
      <w:proofErr w:type="spellEnd"/>
      <w:r w:rsidRPr="0083665A">
        <w:rPr>
          <w:rFonts w:ascii="Times New Roman" w:hAnsi="Times New Roman"/>
          <w:sz w:val="24"/>
          <w:szCs w:val="24"/>
        </w:rPr>
        <w:t xml:space="preserve"> Việt Nam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quý</w:t>
      </w:r>
      <w:proofErr w:type="spellEnd"/>
      <w:r w:rsidRPr="0083665A">
        <w:rPr>
          <w:rFonts w:ascii="Times New Roman" w:hAnsi="Times New Roman"/>
          <w:sz w:val="24"/>
          <w:szCs w:val="24"/>
        </w:rPr>
        <w:t xml:space="preserve"> </w:t>
      </w:r>
      <w:r>
        <w:rPr>
          <w:rFonts w:ascii="Times New Roman" w:hAnsi="Times New Roman"/>
          <w:sz w:val="24"/>
          <w:szCs w:val="24"/>
        </w:rPr>
        <w:t>2</w:t>
      </w:r>
      <w:r w:rsidRPr="0083665A">
        <w:rPr>
          <w:rFonts w:ascii="Times New Roman" w:hAnsi="Times New Roman"/>
          <w:sz w:val="24"/>
          <w:szCs w:val="24"/>
        </w:rPr>
        <w:t xml:space="preserve"> </w:t>
      </w:r>
      <w:proofErr w:type="spellStart"/>
      <w:r w:rsidRPr="0083665A">
        <w:rPr>
          <w:rFonts w:ascii="Times New Roman" w:hAnsi="Times New Roman"/>
          <w:sz w:val="24"/>
          <w:szCs w:val="24"/>
        </w:rPr>
        <w:t>năm</w:t>
      </w:r>
      <w:proofErr w:type="spellEnd"/>
      <w:r w:rsidRPr="0083665A">
        <w:rPr>
          <w:rFonts w:ascii="Times New Roman" w:hAnsi="Times New Roman"/>
          <w:sz w:val="24"/>
          <w:szCs w:val="24"/>
        </w:rPr>
        <w:t xml:space="preserve"> 202</w:t>
      </w:r>
      <w:r>
        <w:rPr>
          <w:rFonts w:ascii="Times New Roman" w:hAnsi="Times New Roman"/>
          <w:sz w:val="24"/>
          <w:szCs w:val="24"/>
        </w:rPr>
        <w:t xml:space="preserve">4 </w:t>
      </w:r>
      <w:proofErr w:type="spellStart"/>
      <w:r>
        <w:rPr>
          <w:rFonts w:ascii="Times New Roman" w:hAnsi="Times New Roman"/>
          <w:sz w:val="24"/>
          <w:szCs w:val="24"/>
        </w:rPr>
        <w:t>Vn</w:t>
      </w:r>
      <w:proofErr w:type="spellEnd"/>
      <w:r>
        <w:rPr>
          <w:rFonts w:ascii="Times New Roman" w:hAnsi="Times New Roman"/>
          <w:sz w:val="24"/>
          <w:szCs w:val="24"/>
        </w:rPr>
        <w:t xml:space="preserve">-index </w:t>
      </w:r>
      <w:proofErr w:type="spellStart"/>
      <w:r>
        <w:rPr>
          <w:rFonts w:ascii="Times New Roman" w:hAnsi="Times New Roman"/>
          <w:sz w:val="24"/>
          <w:szCs w:val="24"/>
        </w:rPr>
        <w:t>đóng</w:t>
      </w:r>
      <w:proofErr w:type="spellEnd"/>
      <w:r>
        <w:rPr>
          <w:rFonts w:ascii="Times New Roman" w:hAnsi="Times New Roman"/>
          <w:sz w:val="24"/>
          <w:szCs w:val="24"/>
        </w:rPr>
        <w:t xml:space="preserve"> </w:t>
      </w:r>
      <w:proofErr w:type="spellStart"/>
      <w:r>
        <w:rPr>
          <w:rFonts w:ascii="Times New Roman" w:hAnsi="Times New Roman"/>
          <w:sz w:val="24"/>
          <w:szCs w:val="24"/>
        </w:rPr>
        <w:t>cửa</w:t>
      </w:r>
      <w:proofErr w:type="spellEnd"/>
      <w:r>
        <w:rPr>
          <w:rFonts w:ascii="Times New Roman" w:hAnsi="Times New Roman"/>
          <w:sz w:val="24"/>
          <w:szCs w:val="24"/>
        </w:rPr>
        <w:t xml:space="preserve"> ở </w:t>
      </w:r>
      <w:proofErr w:type="spellStart"/>
      <w:r>
        <w:rPr>
          <w:rFonts w:ascii="Times New Roman" w:hAnsi="Times New Roman"/>
          <w:sz w:val="24"/>
          <w:szCs w:val="24"/>
        </w:rPr>
        <w:t>mức</w:t>
      </w:r>
      <w:proofErr w:type="spellEnd"/>
      <w:r>
        <w:rPr>
          <w:rFonts w:ascii="Times New Roman" w:hAnsi="Times New Roman"/>
          <w:sz w:val="24"/>
          <w:szCs w:val="24"/>
        </w:rPr>
        <w:t xml:space="preserve"> 1</w:t>
      </w:r>
      <w:r w:rsidR="00EE0266">
        <w:rPr>
          <w:rFonts w:ascii="Times New Roman" w:hAnsi="Times New Roman"/>
          <w:sz w:val="24"/>
          <w:szCs w:val="24"/>
        </w:rPr>
        <w:t>.</w:t>
      </w:r>
      <w:r>
        <w:rPr>
          <w:rFonts w:ascii="Times New Roman" w:hAnsi="Times New Roman"/>
          <w:sz w:val="24"/>
          <w:szCs w:val="24"/>
        </w:rPr>
        <w:t xml:space="preserve">245 </w:t>
      </w:r>
      <w:proofErr w:type="spellStart"/>
      <w:proofErr w:type="gramStart"/>
      <w:r>
        <w:rPr>
          <w:rFonts w:ascii="Times New Roman" w:hAnsi="Times New Roman"/>
          <w:sz w:val="24"/>
          <w:szCs w:val="24"/>
        </w:rPr>
        <w:t>điểm</w:t>
      </w:r>
      <w:proofErr w:type="spellEnd"/>
      <w:r w:rsidRPr="0083665A">
        <w:rPr>
          <w:rFonts w:ascii="Times New Roman" w:hAnsi="Times New Roman"/>
          <w:sz w:val="24"/>
          <w:szCs w:val="24"/>
        </w:rPr>
        <w:t xml:space="preserve"> </w:t>
      </w:r>
      <w:r>
        <w:rPr>
          <w:rFonts w:ascii="Times New Roman" w:hAnsi="Times New Roman"/>
          <w:sz w:val="24"/>
          <w:szCs w:val="24"/>
        </w:rPr>
        <w:t xml:space="preserve"> </w:t>
      </w:r>
      <w:proofErr w:type="spellStart"/>
      <w:r>
        <w:rPr>
          <w:rFonts w:ascii="Times New Roman" w:hAnsi="Times New Roman"/>
          <w:sz w:val="24"/>
          <w:szCs w:val="24"/>
        </w:rPr>
        <w:t>giảm</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nhẹ</w:t>
      </w:r>
      <w:proofErr w:type="spellEnd"/>
      <w:r>
        <w:rPr>
          <w:rFonts w:ascii="Times New Roman" w:hAnsi="Times New Roman"/>
          <w:sz w:val="24"/>
          <w:szCs w:val="24"/>
        </w:rPr>
        <w:t xml:space="preserve"> 3%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1, </w:t>
      </w:r>
      <w:proofErr w:type="spellStart"/>
      <w:r>
        <w:rPr>
          <w:rFonts w:ascii="Times New Roman" w:hAnsi="Times New Roman"/>
          <w:sz w:val="24"/>
          <w:szCs w:val="24"/>
        </w:rPr>
        <w:t>tuy</w:t>
      </w:r>
      <w:proofErr w:type="spellEnd"/>
      <w:r>
        <w:rPr>
          <w:rFonts w:ascii="Times New Roman" w:hAnsi="Times New Roman"/>
          <w:sz w:val="24"/>
          <w:szCs w:val="24"/>
        </w:rPr>
        <w:t xml:space="preserve">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tốt</w:t>
      </w:r>
      <w:proofErr w:type="spellEnd"/>
      <w:r w:rsidRPr="0083665A">
        <w:rPr>
          <w:rFonts w:ascii="Times New Roman" w:hAnsi="Times New Roman"/>
          <w:sz w:val="24"/>
          <w:szCs w:val="24"/>
        </w:rPr>
        <w:t xml:space="preserve"> </w:t>
      </w:r>
      <w:r>
        <w:rPr>
          <w:rFonts w:ascii="Times New Roman" w:hAnsi="Times New Roman"/>
          <w:sz w:val="24"/>
          <w:szCs w:val="24"/>
        </w:rPr>
        <w:t>10,2</w:t>
      </w:r>
      <w:r w:rsidRPr="0083665A">
        <w:rPr>
          <w:rFonts w:ascii="Times New Roman" w:hAnsi="Times New Roman"/>
          <w:sz w:val="24"/>
          <w:szCs w:val="24"/>
        </w:rPr>
        <w:t xml:space="preserve">% so </w:t>
      </w:r>
      <w:proofErr w:type="spellStart"/>
      <w:r w:rsidRPr="0083665A">
        <w:rPr>
          <w:rFonts w:ascii="Times New Roman" w:hAnsi="Times New Roman"/>
          <w:sz w:val="24"/>
          <w:szCs w:val="24"/>
        </w:rPr>
        <w:t>với</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cuối</w:t>
      </w:r>
      <w:proofErr w:type="spellEnd"/>
      <w:r w:rsidRPr="0083665A">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w:t>
      </w:r>
      <w:r w:rsidRPr="0083665A">
        <w:rPr>
          <w:rFonts w:ascii="Times New Roman" w:hAnsi="Times New Roman"/>
          <w:sz w:val="24"/>
          <w:szCs w:val="24"/>
        </w:rPr>
        <w:t xml:space="preserve">, Thị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trong</w:t>
      </w:r>
      <w:proofErr w:type="spellEnd"/>
      <w:r w:rsidRPr="0083665A">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2 </w:t>
      </w:r>
      <w:proofErr w:type="spellStart"/>
      <w:r>
        <w:rPr>
          <w:rFonts w:ascii="Times New Roman" w:hAnsi="Times New Roman"/>
          <w:sz w:val="24"/>
          <w:szCs w:val="24"/>
        </w:rPr>
        <w:t>năm</w:t>
      </w:r>
      <w:proofErr w:type="spellEnd"/>
      <w:r>
        <w:rPr>
          <w:rFonts w:ascii="Times New Roman" w:hAnsi="Times New Roman"/>
          <w:sz w:val="24"/>
          <w:szCs w:val="24"/>
        </w:rPr>
        <w:t xml:space="preserve"> 2024</w:t>
      </w:r>
      <w:r w:rsidRPr="0083665A">
        <w:rPr>
          <w:rFonts w:ascii="Times New Roman" w:hAnsi="Times New Roman"/>
          <w:sz w:val="24"/>
          <w:szCs w:val="24"/>
        </w:rPr>
        <w:t xml:space="preserve"> </w:t>
      </w:r>
      <w:proofErr w:type="spellStart"/>
      <w:r w:rsidRPr="0083665A">
        <w:rPr>
          <w:rFonts w:ascii="Times New Roman" w:hAnsi="Times New Roman"/>
          <w:sz w:val="24"/>
          <w:szCs w:val="24"/>
        </w:rPr>
        <w:t>hiện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phản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ánh</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tâm</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lý</w:t>
      </w:r>
      <w:proofErr w:type="spellEnd"/>
      <w:r w:rsidRPr="0083665A">
        <w:rPr>
          <w:rFonts w:ascii="Times New Roman" w:hAnsi="Times New Roman"/>
          <w:sz w:val="24"/>
          <w:szCs w:val="24"/>
        </w:rPr>
        <w:t xml:space="preserve"> </w:t>
      </w:r>
      <w:proofErr w:type="spellStart"/>
      <w:r>
        <w:rPr>
          <w:rFonts w:ascii="Times New Roman" w:hAnsi="Times New Roman"/>
          <w:sz w:val="24"/>
          <w:szCs w:val="24"/>
        </w:rPr>
        <w:t>thận</w:t>
      </w:r>
      <w:proofErr w:type="spellEnd"/>
      <w:r>
        <w:rPr>
          <w:rFonts w:ascii="Times New Roman" w:hAnsi="Times New Roman"/>
          <w:sz w:val="24"/>
          <w:szCs w:val="24"/>
        </w:rPr>
        <w:t xml:space="preserve"> </w:t>
      </w:r>
      <w:proofErr w:type="spellStart"/>
      <w:r>
        <w:rPr>
          <w:rFonts w:ascii="Times New Roman" w:hAnsi="Times New Roman"/>
          <w:sz w:val="24"/>
          <w:szCs w:val="24"/>
        </w:rPr>
        <w:t>trọng</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của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các</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nhà</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đầu</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tư</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trước</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các</w:t>
      </w:r>
      <w:proofErr w:type="spellEnd"/>
      <w:r w:rsidRPr="0083665A">
        <w:rPr>
          <w:rFonts w:ascii="Times New Roman" w:hAnsi="Times New Roman"/>
          <w:sz w:val="24"/>
          <w:szCs w:val="24"/>
        </w:rPr>
        <w:t xml:space="preserve"> </w:t>
      </w:r>
      <w:proofErr w:type="spellStart"/>
      <w:r>
        <w:rPr>
          <w:rFonts w:ascii="Times New Roman" w:hAnsi="Times New Roman"/>
          <w:sz w:val="24"/>
          <w:szCs w:val="24"/>
        </w:rPr>
        <w:t>diễn</w:t>
      </w:r>
      <w:proofErr w:type="spellEnd"/>
      <w:r>
        <w:rPr>
          <w:rFonts w:ascii="Times New Roman" w:hAnsi="Times New Roman"/>
          <w:sz w:val="24"/>
          <w:szCs w:val="24"/>
        </w:rPr>
        <w:t xml:space="preserve"> </w:t>
      </w:r>
      <w:proofErr w:type="spellStart"/>
      <w:r>
        <w:rPr>
          <w:rFonts w:ascii="Times New Roman" w:hAnsi="Times New Roman"/>
          <w:sz w:val="24"/>
          <w:szCs w:val="24"/>
        </w:rPr>
        <w:t>biến</w:t>
      </w:r>
      <w:proofErr w:type="spellEnd"/>
      <w:r>
        <w:rPr>
          <w:rFonts w:ascii="Times New Roman" w:hAnsi="Times New Roman"/>
          <w:sz w:val="24"/>
          <w:szCs w:val="24"/>
        </w:rPr>
        <w:t xml:space="preserve"> </w:t>
      </w:r>
      <w:proofErr w:type="spellStart"/>
      <w:r w:rsidRPr="0083665A">
        <w:rPr>
          <w:rFonts w:ascii="Times New Roman" w:hAnsi="Times New Roman"/>
          <w:sz w:val="24"/>
          <w:szCs w:val="24"/>
        </w:rPr>
        <w:t>của</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thị</w:t>
      </w:r>
      <w:proofErr w:type="spellEnd"/>
      <w:r w:rsidRPr="0083665A">
        <w:rPr>
          <w:rFonts w:ascii="Times New Roman" w:hAnsi="Times New Roman"/>
          <w:sz w:val="24"/>
          <w:szCs w:val="24"/>
        </w:rPr>
        <w:t xml:space="preserve"> </w:t>
      </w:r>
      <w:proofErr w:type="spellStart"/>
      <w:r w:rsidRPr="0083665A">
        <w:rPr>
          <w:rFonts w:ascii="Times New Roman" w:hAnsi="Times New Roman"/>
          <w:sz w:val="24"/>
          <w:szCs w:val="24"/>
        </w:rPr>
        <w:t>trường</w:t>
      </w:r>
      <w:proofErr w:type="spellEnd"/>
      <w:r w:rsidRPr="0083665A">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tố</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tiên</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thể</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không</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hạn</w:t>
      </w:r>
      <w:proofErr w:type="spellEnd"/>
      <w:r>
        <w:rPr>
          <w:rFonts w:ascii="Times New Roman" w:hAnsi="Times New Roman"/>
          <w:sz w:val="24"/>
          <w:szCs w:val="24"/>
        </w:rPr>
        <w:t xml:space="preserve"> </w:t>
      </w:r>
      <w:proofErr w:type="spellStart"/>
      <w:r>
        <w:rPr>
          <w:rFonts w:ascii="Times New Roman" w:hAnsi="Times New Roman"/>
          <w:sz w:val="24"/>
          <w:szCs w:val="24"/>
        </w:rPr>
        <w:t>chế</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2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2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sử</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cụ</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nhằm</w:t>
      </w:r>
      <w:proofErr w:type="spellEnd"/>
      <w:r>
        <w:rPr>
          <w:rFonts w:ascii="Times New Roman" w:hAnsi="Times New Roman"/>
          <w:sz w:val="24"/>
          <w:szCs w:val="24"/>
        </w:rPr>
        <w:t xml:space="preserve"> can </w:t>
      </w:r>
      <w:proofErr w:type="spellStart"/>
      <w:r>
        <w:rPr>
          <w:rFonts w:ascii="Times New Roman" w:hAnsi="Times New Roman"/>
          <w:sz w:val="24"/>
          <w:szCs w:val="24"/>
        </w:rPr>
        <w:t>thiệp</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qua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lên</w:t>
      </w:r>
      <w:proofErr w:type="spellEnd"/>
      <w:r>
        <w:rPr>
          <w:rFonts w:ascii="Times New Roman" w:hAnsi="Times New Roman"/>
          <w:sz w:val="24"/>
          <w:szCs w:val="24"/>
        </w:rPr>
        <w:t xml:space="preserve"> </w:t>
      </w:r>
      <w:proofErr w:type="spellStart"/>
      <w:r>
        <w:rPr>
          <w:rFonts w:ascii="Times New Roman" w:hAnsi="Times New Roman"/>
          <w:sz w:val="24"/>
          <w:szCs w:val="24"/>
        </w:rPr>
        <w:t>trên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4%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gửi</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hệ</w:t>
      </w:r>
      <w:proofErr w:type="spellEnd"/>
      <w:r>
        <w:rPr>
          <w:rFonts w:ascii="Times New Roman" w:hAnsi="Times New Roman"/>
          <w:sz w:val="24"/>
          <w:szCs w:val="24"/>
        </w:rPr>
        <w:t xml:space="preserve"> </w:t>
      </w:r>
      <w:proofErr w:type="spellStart"/>
      <w:r>
        <w:rPr>
          <w:rFonts w:ascii="Times New Roman" w:hAnsi="Times New Roman"/>
          <w:sz w:val="24"/>
          <w:szCs w:val="24"/>
        </w:rPr>
        <w:t>thống</w:t>
      </w:r>
      <w:proofErr w:type="spellEnd"/>
      <w:r>
        <w:rPr>
          <w:rFonts w:ascii="Times New Roman" w:hAnsi="Times New Roman"/>
          <w:sz w:val="24"/>
          <w:szCs w:val="24"/>
        </w:rPr>
        <w:t xml:space="preserve"> ngân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rục</w:t>
      </w:r>
      <w:proofErr w:type="spellEnd"/>
      <w:r>
        <w:rPr>
          <w:rFonts w:ascii="Times New Roman" w:hAnsi="Times New Roman"/>
          <w:sz w:val="24"/>
          <w:szCs w:val="24"/>
        </w:rPr>
        <w:t xml:space="preserve"> </w:t>
      </w:r>
      <w:proofErr w:type="spellStart"/>
      <w:r>
        <w:rPr>
          <w:rFonts w:ascii="Times New Roman" w:hAnsi="Times New Roman"/>
          <w:sz w:val="24"/>
          <w:szCs w:val="24"/>
        </w:rPr>
        <w:t>rịch</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theo</w:t>
      </w:r>
      <w:r w:rsidRPr="0083665A">
        <w:rPr>
          <w:rFonts w:ascii="Times New Roman" w:hAnsi="Times New Roman"/>
          <w:sz w:val="24"/>
          <w:szCs w:val="24"/>
        </w:rPr>
        <w:t>.</w:t>
      </w:r>
      <w:proofErr w:type="spellEnd"/>
      <w:r w:rsidRPr="0083665A">
        <w:rPr>
          <w:rFonts w:ascii="Times New Roman" w:hAnsi="Times New Roman"/>
          <w:sz w:val="24"/>
          <w:szCs w:val="24"/>
        </w:rPr>
        <w:t xml:space="preserve"> </w:t>
      </w:r>
      <w:r w:rsidRPr="00567080">
        <w:rPr>
          <w:rFonts w:ascii="Times New Roman" w:hAnsi="Times New Roman"/>
          <w:sz w:val="24"/>
          <w:szCs w:val="24"/>
        </w:rPr>
        <w:t xml:space="preserve">Thanh </w:t>
      </w:r>
      <w:proofErr w:type="spellStart"/>
      <w:r w:rsidRPr="00567080">
        <w:rPr>
          <w:rFonts w:ascii="Times New Roman" w:hAnsi="Times New Roman"/>
          <w:sz w:val="24"/>
          <w:szCs w:val="24"/>
        </w:rPr>
        <w:t>khoản</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của</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thị</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trường</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trong</w:t>
      </w:r>
      <w:proofErr w:type="spellEnd"/>
      <w:r w:rsidRPr="00567080">
        <w:rPr>
          <w:rFonts w:ascii="Times New Roman" w:hAnsi="Times New Roman"/>
          <w:sz w:val="24"/>
          <w:szCs w:val="24"/>
        </w:rPr>
        <w:t xml:space="preserve"> Quý 2 </w:t>
      </w:r>
      <w:proofErr w:type="spellStart"/>
      <w:r w:rsidRPr="00567080">
        <w:rPr>
          <w:rFonts w:ascii="Times New Roman" w:hAnsi="Times New Roman"/>
          <w:sz w:val="24"/>
          <w:szCs w:val="24"/>
        </w:rPr>
        <w:t>cũng</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được</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cải</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thiện</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nhẹ</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giá</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trị</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giao</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dịch</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bình</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quân</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tăng</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mạnh</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lên</w:t>
      </w:r>
      <w:proofErr w:type="spellEnd"/>
      <w:r w:rsidRPr="00567080">
        <w:rPr>
          <w:rFonts w:ascii="Times New Roman" w:hAnsi="Times New Roman"/>
          <w:sz w:val="24"/>
          <w:szCs w:val="24"/>
        </w:rPr>
        <w:t xml:space="preserve"> 22.200 </w:t>
      </w:r>
      <w:proofErr w:type="spellStart"/>
      <w:r w:rsidRPr="00567080">
        <w:rPr>
          <w:rFonts w:ascii="Times New Roman" w:hAnsi="Times New Roman"/>
          <w:sz w:val="24"/>
          <w:szCs w:val="24"/>
        </w:rPr>
        <w:t>tỷ</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đồng</w:t>
      </w:r>
      <w:proofErr w:type="spellEnd"/>
      <w:r w:rsidRPr="00567080">
        <w:rPr>
          <w:rFonts w:ascii="Times New Roman" w:hAnsi="Times New Roman"/>
          <w:sz w:val="24"/>
          <w:szCs w:val="24"/>
        </w:rPr>
        <w:t>/</w:t>
      </w:r>
      <w:proofErr w:type="spellStart"/>
      <w:r w:rsidRPr="00567080">
        <w:rPr>
          <w:rFonts w:ascii="Times New Roman" w:hAnsi="Times New Roman"/>
          <w:sz w:val="24"/>
          <w:szCs w:val="24"/>
        </w:rPr>
        <w:t>phiên</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từ</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mức</w:t>
      </w:r>
      <w:proofErr w:type="spellEnd"/>
      <w:r w:rsidRPr="00567080">
        <w:rPr>
          <w:rFonts w:ascii="Times New Roman" w:hAnsi="Times New Roman"/>
          <w:sz w:val="24"/>
          <w:szCs w:val="24"/>
        </w:rPr>
        <w:t xml:space="preserve"> 21.410 </w:t>
      </w:r>
      <w:proofErr w:type="spellStart"/>
      <w:r w:rsidRPr="00567080">
        <w:rPr>
          <w:rFonts w:ascii="Times New Roman" w:hAnsi="Times New Roman"/>
          <w:sz w:val="24"/>
          <w:szCs w:val="24"/>
        </w:rPr>
        <w:t>tỷ</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đồng</w:t>
      </w:r>
      <w:proofErr w:type="spellEnd"/>
      <w:r w:rsidRPr="00567080">
        <w:rPr>
          <w:rFonts w:ascii="Times New Roman" w:hAnsi="Times New Roman"/>
          <w:sz w:val="24"/>
          <w:szCs w:val="24"/>
        </w:rPr>
        <w:t>/</w:t>
      </w:r>
      <w:proofErr w:type="spellStart"/>
      <w:r w:rsidRPr="00567080">
        <w:rPr>
          <w:rFonts w:ascii="Times New Roman" w:hAnsi="Times New Roman"/>
          <w:sz w:val="24"/>
          <w:szCs w:val="24"/>
        </w:rPr>
        <w:t>phiên</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trong</w:t>
      </w:r>
      <w:proofErr w:type="spellEnd"/>
      <w:r w:rsidRPr="00567080">
        <w:rPr>
          <w:rFonts w:ascii="Times New Roman" w:hAnsi="Times New Roman"/>
          <w:sz w:val="24"/>
          <w:szCs w:val="24"/>
        </w:rPr>
        <w:t xml:space="preserve"> Quý 1 </w:t>
      </w:r>
      <w:proofErr w:type="spellStart"/>
      <w:r w:rsidRPr="00567080">
        <w:rPr>
          <w:rFonts w:ascii="Times New Roman" w:hAnsi="Times New Roman"/>
          <w:sz w:val="24"/>
          <w:szCs w:val="24"/>
        </w:rPr>
        <w:t>năm</w:t>
      </w:r>
      <w:proofErr w:type="spellEnd"/>
      <w:r w:rsidRPr="00567080">
        <w:rPr>
          <w:rFonts w:ascii="Times New Roman" w:hAnsi="Times New Roman"/>
          <w:sz w:val="24"/>
          <w:szCs w:val="24"/>
        </w:rPr>
        <w:t xml:space="preserve"> 2024, </w:t>
      </w:r>
      <w:proofErr w:type="spellStart"/>
      <w:r w:rsidRPr="00567080">
        <w:rPr>
          <w:rFonts w:ascii="Times New Roman" w:hAnsi="Times New Roman"/>
          <w:sz w:val="24"/>
          <w:szCs w:val="24"/>
        </w:rPr>
        <w:t>tăng</w:t>
      </w:r>
      <w:proofErr w:type="spellEnd"/>
      <w:r w:rsidRPr="00567080">
        <w:rPr>
          <w:rFonts w:ascii="Times New Roman" w:hAnsi="Times New Roman"/>
          <w:sz w:val="24"/>
          <w:szCs w:val="24"/>
        </w:rPr>
        <w:t xml:space="preserve"> </w:t>
      </w:r>
      <w:proofErr w:type="spellStart"/>
      <w:r w:rsidRPr="00567080">
        <w:rPr>
          <w:rFonts w:ascii="Times New Roman" w:hAnsi="Times New Roman"/>
          <w:sz w:val="24"/>
          <w:szCs w:val="24"/>
        </w:rPr>
        <w:t>gần</w:t>
      </w:r>
      <w:proofErr w:type="spellEnd"/>
      <w:r w:rsidRPr="00567080">
        <w:rPr>
          <w:rFonts w:ascii="Times New Roman" w:hAnsi="Times New Roman"/>
          <w:sz w:val="24"/>
          <w:szCs w:val="24"/>
        </w:rPr>
        <w:t xml:space="preserve"> 3,7%</w:t>
      </w:r>
      <w:r>
        <w:rPr>
          <w:rFonts w:ascii="Times New Roman" w:hAnsi="Times New Roman"/>
          <w:sz w:val="24"/>
          <w:szCs w:val="24"/>
        </w:rPr>
        <w:t>.</w:t>
      </w:r>
    </w:p>
    <w:p w14:paraId="41781A4C" w14:textId="77777777" w:rsidR="00A34065" w:rsidRPr="00B928C2" w:rsidRDefault="00A34065" w:rsidP="00A34065">
      <w:pPr>
        <w:shd w:val="clear" w:color="auto" w:fill="FFFFFF"/>
        <w:tabs>
          <w:tab w:val="left" w:pos="540"/>
        </w:tabs>
        <w:spacing w:before="120" w:after="0" w:line="240" w:lineRule="auto"/>
        <w:jc w:val="both"/>
        <w:rPr>
          <w:rFonts w:ascii="Times New Roman" w:hAnsi="Times New Roman"/>
          <w:color w:val="000000" w:themeColor="text1"/>
          <w:sz w:val="24"/>
          <w:szCs w:val="24"/>
        </w:rPr>
      </w:pPr>
      <w:r w:rsidRPr="00463E77">
        <w:rPr>
          <w:rFonts w:ascii="Times New Roman" w:hAnsi="Times New Roman"/>
          <w:color w:val="000000" w:themeColor="text1"/>
          <w:sz w:val="24"/>
          <w:szCs w:val="24"/>
        </w:rPr>
        <w:t xml:space="preserve">Tuy </w:t>
      </w:r>
      <w:proofErr w:type="spellStart"/>
      <w:r w:rsidRPr="00463E77">
        <w:rPr>
          <w:rFonts w:ascii="Times New Roman" w:hAnsi="Times New Roman"/>
          <w:color w:val="000000" w:themeColor="text1"/>
          <w:sz w:val="24"/>
          <w:szCs w:val="24"/>
        </w:rPr>
        <w:t>nhiên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trong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dài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hạn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dự</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kiến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vẫn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w:t>
      </w:r>
      <w:r>
        <w:rPr>
          <w:rFonts w:ascii="Times New Roman" w:hAnsi="Times New Roman"/>
          <w:color w:val="000000" w:themeColor="text1"/>
          <w:sz w:val="24"/>
          <w:szCs w:val="24"/>
        </w:rPr>
        <w:t>òn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nhiều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động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lực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tăng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trưởng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như</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hiệu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quả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kinh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của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nghiệp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thể</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cải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thiện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sách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kích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giảm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gánh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nặng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thuế</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phí</w:t>
      </w:r>
      <w:proofErr w:type="spellEnd"/>
      <w:r>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phủ</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triển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khai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trong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năm</w:t>
      </w:r>
      <w:proofErr w:type="spellEnd"/>
      <w:r w:rsidRPr="00463E77">
        <w:rPr>
          <w:rFonts w:ascii="Times New Roman" w:hAnsi="Times New Roman"/>
          <w:color w:val="000000" w:themeColor="text1"/>
          <w:sz w:val="24"/>
          <w:szCs w:val="24"/>
        </w:rPr>
        <w:t xml:space="preserve"> 202</w:t>
      </w:r>
      <w:r>
        <w:rPr>
          <w:rFonts w:ascii="Times New Roman" w:hAnsi="Times New Roman"/>
          <w:color w:val="000000" w:themeColor="text1"/>
          <w:sz w:val="24"/>
          <w:szCs w:val="24"/>
        </w:rPr>
        <w:t xml:space="preserve">4 </w:t>
      </w:r>
      <w:proofErr w:type="spellStart"/>
      <w:r>
        <w:rPr>
          <w:rFonts w:ascii="Times New Roman" w:hAnsi="Times New Roman"/>
          <w:color w:val="000000" w:themeColor="text1"/>
          <w:sz w:val="24"/>
          <w:szCs w:val="24"/>
        </w:rPr>
        <w:t>sẽ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huy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tác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dụng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Chính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sách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tiền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tệ</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lỏng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nhằm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hỗ</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khoản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mặt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bằng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lãi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vay</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xuống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thấp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thuận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lợi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Các </w:t>
      </w:r>
      <w:proofErr w:type="spellStart"/>
      <w:r w:rsidRPr="00463E77">
        <w:rPr>
          <w:rFonts w:ascii="Times New Roman" w:hAnsi="Times New Roman"/>
          <w:color w:val="000000" w:themeColor="text1"/>
          <w:sz w:val="24"/>
          <w:szCs w:val="24"/>
        </w:rPr>
        <w:t>giải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pháp</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làm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minh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bạch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hóa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nhằm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hướng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đến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việc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nâng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hạng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thị</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trường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chứng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khoán</w:t>
      </w:r>
      <w:proofErr w:type="spellEnd"/>
      <w:r w:rsidRPr="00463E77">
        <w:rPr>
          <w:rFonts w:ascii="Times New Roman" w:hAnsi="Times New Roman"/>
          <w:color w:val="000000" w:themeColor="text1"/>
          <w:sz w:val="24"/>
          <w:szCs w:val="24"/>
        </w:rPr>
        <w:t xml:space="preserve"> Việt Nam </w:t>
      </w:r>
      <w:proofErr w:type="spellStart"/>
      <w:r w:rsidRPr="00463E77">
        <w:rPr>
          <w:rFonts w:ascii="Times New Roman" w:hAnsi="Times New Roman"/>
          <w:color w:val="000000" w:themeColor="text1"/>
          <w:sz w:val="24"/>
          <w:szCs w:val="24"/>
        </w:rPr>
        <w:t>trong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vài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năm</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tới</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bắt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đầu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được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vọng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và</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thực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thi</w:t>
      </w:r>
      <w:proofErr w:type="spellEnd"/>
      <w:r w:rsidRPr="00463E77">
        <w:rPr>
          <w:rFonts w:ascii="Times New Roman" w:hAnsi="Times New Roman"/>
          <w:color w:val="000000" w:themeColor="text1"/>
          <w:sz w:val="24"/>
          <w:szCs w:val="24"/>
        </w:rPr>
        <w:t xml:space="preserve">. Tuy </w:t>
      </w:r>
      <w:proofErr w:type="spellStart"/>
      <w:r w:rsidRPr="00463E77">
        <w:rPr>
          <w:rFonts w:ascii="Times New Roman" w:hAnsi="Times New Roman"/>
          <w:color w:val="000000" w:themeColor="text1"/>
          <w:sz w:val="24"/>
          <w:szCs w:val="24"/>
        </w:rPr>
        <w:t>nhiên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nhiều</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khăn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trước</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mắt</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vẫn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còn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đó</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như</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khả</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năng</w:t>
      </w:r>
      <w:proofErr w:type="spellEnd"/>
      <w:r w:rsidRPr="00463E77">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hấp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thụ</w:t>
      </w:r>
      <w:proofErr w:type="spellEnd"/>
      <w:r>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vốn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tín</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dụng</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của</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doanh</w:t>
      </w:r>
      <w:proofErr w:type="spellEnd"/>
      <w:r w:rsidRPr="00463E77">
        <w:rPr>
          <w:rFonts w:ascii="Times New Roman" w:hAnsi="Times New Roman"/>
          <w:color w:val="000000" w:themeColor="text1"/>
          <w:sz w:val="24"/>
          <w:szCs w:val="24"/>
        </w:rPr>
        <w:t xml:space="preserve"> </w:t>
      </w:r>
      <w:proofErr w:type="spellStart"/>
      <w:r w:rsidRPr="00463E77">
        <w:rPr>
          <w:rFonts w:ascii="Times New Roman" w:hAnsi="Times New Roman"/>
          <w:color w:val="000000" w:themeColor="text1"/>
          <w:sz w:val="24"/>
          <w:szCs w:val="24"/>
        </w:rPr>
        <w:t>nghiệp</w:t>
      </w:r>
      <w:proofErr w:type="spellEnd"/>
      <w:r w:rsidRPr="00463E77">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còn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lastRenderedPageBreak/>
        <w:t>thấp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rủi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rộng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vẫn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còn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cao</w:t>
      </w:r>
      <w:proofErr w:type="spellEnd"/>
      <w:r>
        <w:rPr>
          <w:rFonts w:ascii="Times New Roman" w:hAnsi="Times New Roman"/>
          <w:color w:val="000000" w:themeColor="text1"/>
          <w:sz w:val="24"/>
          <w:szCs w:val="24"/>
          <w:lang w:val="nl-NL"/>
        </w:rPr>
        <w:t>, cầu tiêu dùng trong nước phục hồi khá chậm, trong khi rủi ro tỷ giá hiện còn cao và có thể dẫn đến sự thay đổi trong chính sách tiền tệ.</w:t>
      </w:r>
      <w:r w:rsidRPr="009107EA">
        <w:rPr>
          <w:rFonts w:ascii="Times New Roman" w:hAnsi="Times New Roman"/>
          <w:color w:val="000000" w:themeColor="text1"/>
          <w:sz w:val="24"/>
          <w:szCs w:val="24"/>
          <w:lang w:val="nl-NL"/>
        </w:rPr>
        <w:t xml:space="preserve"> </w:t>
      </w:r>
    </w:p>
    <w:p w14:paraId="3795AACE" w14:textId="77777777" w:rsidR="00A34065" w:rsidRDefault="00A34065" w:rsidP="00A34065">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Trong thực tế, luôn có những sự kiện xảy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Những bất ổn vĩ mô của nền kinh tế hoặc các sự kiện tiêu cực sẽ qua đi và dần được điều chỉnh để giúp nền kinh tế phục hồi. Việt Nam đã có nhiều kinh nghiệm trong việc điều hành nền kinh tế vượt qua các giai đoạn khó khăn. Vì vậy chúng tôi tin rằng với nhiều giải pháp hợp lý trong điều hành vĩ mô thời gian gần đây cũng như nỗ lực đẩy lùi các hoạt động đầu cơ, lũng đoạn thị trường, giữ lạm phát và tỷ giá ổn định, hỗ trợ thanh khoản cho hệ thống ngân hàng vv sẽ giúp thị trường chứng khoán dần phục hồi, niềm tin của nhà đầu tư trở lại cùng với triển vọng tích cực hơn thì thị trường chứng khoán sẽ tiếp tục phục hồi và tăng trưởng trong dài hạn. Các tổ chức quốc tế đều đồng thuận cho rằng nền kinh tế Việt Nam là điểm sáng hiếm hoi trong bối cảnh suy thoái toàn cầu. Nền kinh tế Việt Nam dự báo sẽ hồi phục dần và tăng trưởng ổn định trong các năm tiếp theo. Trong trung dài hạn thị trường Chứng khoán Việt Nam vẫn sẽ nhiều tiềm năng phát triển khi:</w:t>
      </w:r>
    </w:p>
    <w:p w14:paraId="03C66879" w14:textId="77777777" w:rsidR="00A34065" w:rsidRPr="00EB4976" w:rsidRDefault="00A34065" w:rsidP="00A34065">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Với môi trường kinh tế vĩ mô: Việt Nam được đánh giá phát triển ổn định thể hiện qua các tiêu chí như tăng trưởng GDP cao, lạm phát được kiểm soát ở mức vừa phải so với các quốc gia khác, tỷ giá giao động trong biên độ </w:t>
      </w:r>
      <w:r w:rsidRPr="00EB4976">
        <w:rPr>
          <w:rFonts w:ascii="Times New Roman" w:hAnsi="Times New Roman"/>
          <w:sz w:val="24"/>
          <w:szCs w:val="24"/>
          <w:lang w:val="nl-NL"/>
        </w:rPr>
        <w:t>không quá lớn (dù có vài thời điểm và sự kiện đặc biệt làm tỷ giá biến động mạnh nhưng chỉ trong thời gian khá ngắn), tình hình thu hút FDI vẫn được duy trì chưa có dấu hiệu tiêu cực,... Như vậy, nền kinh tế Việt Nam đang tiếp tục bước trên chu kỳ kinh tế đi lên.</w:t>
      </w:r>
    </w:p>
    <w:p w14:paraId="6DA28FF1" w14:textId="77777777" w:rsidR="00A34065" w:rsidRPr="00EB4976" w:rsidRDefault="00A34065" w:rsidP="00A34065">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EB4976">
        <w:rPr>
          <w:rFonts w:ascii="Times New Roman" w:hAnsi="Times New Roman"/>
          <w:sz w:val="24"/>
          <w:szCs w:val="24"/>
          <w:lang w:val="nl-NL"/>
        </w:rPr>
        <w:t>Về đánh giá Thị trường Chứng khoán: với định giá hợp lý và mức sinh lời hấp dẫn hơn so với các thị trường trong khu vực (chỉ số giá trên thu nhập P/E thấp hơn mức trung bình trong nhiều năm qua, và hấp dẫn hơn so với các thị trường khu vực trong khi mức sinh lời trên vốn chủ sở hữu ROE, mức sinh lời trên tài sản ROA khá cao). Tầng lớp trung lưu tăng lên và tham gia ngày càng nhiều vào thị trường chứng khoán, thể hiện qua số tài khoản mở mới tăng mạnh trong 2 năm qua.</w:t>
      </w:r>
    </w:p>
    <w:p w14:paraId="10791447" w14:textId="77777777" w:rsidR="00A34065" w:rsidRDefault="00A34065" w:rsidP="00A34065">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Đẩy mạnh giải ngân đầu tư công từ giai đoạn năm 2022-2023 cùng với gói hỗ trợ phát triển kinh tế đã được Quốc hội thông qua trong năm 2022; (iii) triển vọng nâng hạng Thị trường Việt Nam (FTSE Russel và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năm 2021. </w:t>
      </w:r>
    </w:p>
    <w:p w14:paraId="100BA7DC" w14:textId="77777777" w:rsidR="00A34065" w:rsidRDefault="00A34065" w:rsidP="00A34065">
      <w:pPr>
        <w:shd w:val="clear" w:color="auto" w:fill="FFFFFF"/>
        <w:tabs>
          <w:tab w:val="left" w:pos="540"/>
        </w:tabs>
        <w:spacing w:before="120" w:after="0" w:line="240" w:lineRule="auto"/>
        <w:jc w:val="both"/>
        <w:rPr>
          <w:rFonts w:ascii="Times New Roman" w:hAnsi="Times New Roman"/>
          <w:sz w:val="24"/>
          <w:szCs w:val="24"/>
          <w:lang w:val="nl-NL"/>
        </w:rPr>
      </w:pPr>
      <w:r w:rsidRPr="0001310B">
        <w:rPr>
          <w:rFonts w:ascii="Times New Roman" w:hAnsi="Times New Roman"/>
          <w:sz w:val="24"/>
          <w:szCs w:val="24"/>
        </w:rPr>
        <w:t xml:space="preserve">Tuy </w:t>
      </w:r>
      <w:proofErr w:type="spellStart"/>
      <w:r w:rsidRPr="0001310B">
        <w:rPr>
          <w:rFonts w:ascii="Times New Roman" w:hAnsi="Times New Roman"/>
          <w:sz w:val="24"/>
          <w:szCs w:val="24"/>
        </w:rPr>
        <w:t>nhiên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chúng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tôi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vẫn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khuyến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thận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trọng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rủi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trên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thể</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chưa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được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ảnh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sâu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tình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hình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Việt Nam: </w:t>
      </w:r>
      <w:proofErr w:type="spellStart"/>
      <w:r w:rsidRPr="0001310B">
        <w:rPr>
          <w:rFonts w:ascii="Times New Roman" w:hAnsi="Times New Roman"/>
          <w:sz w:val="24"/>
          <w:szCs w:val="24"/>
        </w:rPr>
        <w:t>lạm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phát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vẫn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trì</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cao</w:t>
      </w:r>
      <w:proofErr w:type="spellEnd"/>
      <w:r w:rsidRPr="0001310B">
        <w:rPr>
          <w:rFonts w:ascii="Times New Roman" w:hAnsi="Times New Roman"/>
          <w:sz w:val="24"/>
          <w:szCs w:val="24"/>
        </w:rPr>
        <w:t xml:space="preserve"> ở </w:t>
      </w:r>
      <w:proofErr w:type="spellStart"/>
      <w:r w:rsidRPr="0001310B">
        <w:rPr>
          <w:rFonts w:ascii="Times New Roman" w:hAnsi="Times New Roman"/>
          <w:sz w:val="24"/>
          <w:szCs w:val="24"/>
        </w:rPr>
        <w:t>nhiều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nền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lớn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dù</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đang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có</w:t>
      </w:r>
      <w:proofErr w:type="spellEnd"/>
      <w:r w:rsidRPr="0001310B">
        <w:rPr>
          <w:rFonts w:ascii="Times New Roman" w:hAnsi="Times New Roman"/>
          <w:sz w:val="24"/>
          <w:szCs w:val="24"/>
        </w:rPr>
        <w:t xml:space="preserve"> xu </w:t>
      </w:r>
      <w:proofErr w:type="spellStart"/>
      <w:r w:rsidRPr="0001310B">
        <w:rPr>
          <w:rFonts w:ascii="Times New Roman" w:hAnsi="Times New Roman"/>
          <w:sz w:val="24"/>
          <w:szCs w:val="24"/>
        </w:rPr>
        <w:t>hướng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giảm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xuống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bất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ổn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ảnh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biến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đổi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khí</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hậu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những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ẩn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số</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dự</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báo</w:t>
      </w:r>
      <w:proofErr w:type="spellEnd"/>
      <w:r w:rsidRPr="0001310B">
        <w:rPr>
          <w:rFonts w:ascii="Times New Roman" w:hAnsi="Times New Roman"/>
          <w:sz w:val="24"/>
          <w:szCs w:val="24"/>
        </w:rPr>
        <w:t xml:space="preserve">. Trong </w:t>
      </w:r>
      <w:proofErr w:type="spellStart"/>
      <w:r w:rsidRPr="0001310B">
        <w:rPr>
          <w:rFonts w:ascii="Times New Roman" w:hAnsi="Times New Roman"/>
          <w:sz w:val="24"/>
          <w:szCs w:val="24"/>
        </w:rPr>
        <w:t>khi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tiêu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thụ</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toàn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giảm</w:t>
      </w:r>
      <w:proofErr w:type="spellEnd"/>
      <w:r w:rsidRPr="0001310B">
        <w:rPr>
          <w:rFonts w:ascii="Times New Roman" w:hAnsi="Times New Roman"/>
          <w:sz w:val="24"/>
          <w:szCs w:val="24"/>
        </w:rPr>
        <w:t xml:space="preserve">, Châu </w:t>
      </w:r>
      <w:proofErr w:type="spellStart"/>
      <w:r w:rsidRPr="0001310B">
        <w:rPr>
          <w:rFonts w:ascii="Times New Roman" w:hAnsi="Times New Roman"/>
          <w:sz w:val="24"/>
          <w:szCs w:val="24"/>
        </w:rPr>
        <w:t>Âu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Trung Quốc </w:t>
      </w:r>
      <w:proofErr w:type="spellStart"/>
      <w:r w:rsidRPr="0001310B">
        <w:rPr>
          <w:rFonts w:ascii="Times New Roman" w:hAnsi="Times New Roman"/>
          <w:sz w:val="24"/>
          <w:szCs w:val="24"/>
        </w:rPr>
        <w:t>đối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mặt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các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thoái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Đối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với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trong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nước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rủi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ro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thị</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bất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động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sản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trái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phiếu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doanh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nghiệp</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xấu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hệ</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thống</w:t>
      </w:r>
      <w:proofErr w:type="spellEnd"/>
      <w:r w:rsidRPr="0001310B">
        <w:rPr>
          <w:rFonts w:ascii="Times New Roman" w:hAnsi="Times New Roman"/>
          <w:sz w:val="24"/>
          <w:szCs w:val="24"/>
        </w:rPr>
        <w:t xml:space="preserve"> ngân </w:t>
      </w:r>
      <w:proofErr w:type="spellStart"/>
      <w:r w:rsidRPr="0001310B">
        <w:rPr>
          <w:rFonts w:ascii="Times New Roman" w:hAnsi="Times New Roman"/>
          <w:sz w:val="24"/>
          <w:szCs w:val="24"/>
        </w:rPr>
        <w:t>hàng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chưa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lường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hết</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quy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mô</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ảnh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tiêu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dùng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đầu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của</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xã</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hội</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đều</w:t>
      </w:r>
      <w:proofErr w:type="spellEnd"/>
      <w:r w:rsidRPr="0001310B">
        <w:rPr>
          <w:rFonts w:ascii="Times New Roman" w:hAnsi="Times New Roman"/>
          <w:sz w:val="24"/>
          <w:szCs w:val="24"/>
        </w:rPr>
        <w:t xml:space="preserve"> ở </w:t>
      </w:r>
      <w:proofErr w:type="spellStart"/>
      <w:r w:rsidRPr="0001310B">
        <w:rPr>
          <w:rFonts w:ascii="Times New Roman" w:hAnsi="Times New Roman"/>
          <w:sz w:val="24"/>
          <w:szCs w:val="24"/>
        </w:rPr>
        <w:t>mức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tỷ</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luôn</w:t>
      </w:r>
      <w:proofErr w:type="spellEnd"/>
      <w:r>
        <w:rPr>
          <w:rFonts w:ascii="Times New Roman" w:hAnsi="Times New Roman"/>
          <w:sz w:val="24"/>
          <w:szCs w:val="24"/>
        </w:rPr>
        <w:t xml:space="preserve"> </w:t>
      </w:r>
      <w:proofErr w:type="spellStart"/>
      <w:r>
        <w:rPr>
          <w:rFonts w:ascii="Times New Roman" w:hAnsi="Times New Roman"/>
          <w:sz w:val="24"/>
          <w:szCs w:val="24"/>
        </w:rPr>
        <w:t>rình</w:t>
      </w:r>
      <w:proofErr w:type="spellEnd"/>
      <w:r>
        <w:rPr>
          <w:rFonts w:ascii="Times New Roman" w:hAnsi="Times New Roman"/>
          <w:sz w:val="24"/>
          <w:szCs w:val="24"/>
        </w:rPr>
        <w:t xml:space="preserve"> </w:t>
      </w:r>
      <w:proofErr w:type="spellStart"/>
      <w:r>
        <w:rPr>
          <w:rFonts w:ascii="Times New Roman" w:hAnsi="Times New Roman"/>
          <w:sz w:val="24"/>
          <w:szCs w:val="24"/>
        </w:rPr>
        <w:t>rập</w:t>
      </w:r>
      <w:proofErr w:type="spellEnd"/>
      <w:r w:rsidRPr="0001310B">
        <w:rPr>
          <w:rFonts w:ascii="Times New Roman" w:hAnsi="Times New Roman"/>
          <w:sz w:val="24"/>
          <w:szCs w:val="24"/>
        </w:rPr>
        <w:t xml:space="preserve">. Do </w:t>
      </w:r>
      <w:proofErr w:type="spellStart"/>
      <w:r w:rsidRPr="0001310B">
        <w:rPr>
          <w:rFonts w:ascii="Times New Roman" w:hAnsi="Times New Roman"/>
          <w:sz w:val="24"/>
          <w:szCs w:val="24"/>
        </w:rPr>
        <w:t>đó</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việc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giữ</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ổn</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định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kinh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tế</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vĩ</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mô</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thúc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đẩy</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tăng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trưởng</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như</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mục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tiêu</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hiện</w:t>
      </w:r>
      <w:proofErr w:type="spellEnd"/>
      <w:r w:rsidRPr="0001310B">
        <w:rPr>
          <w:rFonts w:ascii="Times New Roman" w:hAnsi="Times New Roman"/>
          <w:sz w:val="24"/>
          <w:szCs w:val="24"/>
        </w:rPr>
        <w:t xml:space="preserve"> nay </w:t>
      </w:r>
      <w:proofErr w:type="spellStart"/>
      <w:r w:rsidRPr="0001310B">
        <w:rPr>
          <w:rFonts w:ascii="Times New Roman" w:hAnsi="Times New Roman"/>
          <w:sz w:val="24"/>
          <w:szCs w:val="24"/>
        </w:rPr>
        <w:t>được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đánh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giá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là</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nhiệm</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vụ</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khá</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thách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thức</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cho</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Chính</w:t>
      </w:r>
      <w:proofErr w:type="spellEnd"/>
      <w:r w:rsidRPr="0001310B">
        <w:rPr>
          <w:rFonts w:ascii="Times New Roman" w:hAnsi="Times New Roman"/>
          <w:sz w:val="24"/>
          <w:szCs w:val="24"/>
        </w:rPr>
        <w:t xml:space="preserve"> </w:t>
      </w:r>
      <w:proofErr w:type="spellStart"/>
      <w:r w:rsidRPr="0001310B">
        <w:rPr>
          <w:rFonts w:ascii="Times New Roman" w:hAnsi="Times New Roman"/>
          <w:sz w:val="24"/>
          <w:szCs w:val="24"/>
        </w:rPr>
        <w:t>Phủ</w:t>
      </w:r>
      <w:proofErr w:type="spellEnd"/>
      <w:r>
        <w:rPr>
          <w:rFonts w:ascii="Times New Roman" w:hAnsi="Times New Roman"/>
          <w:sz w:val="24"/>
          <w:szCs w:val="24"/>
          <w:lang w:val="nl-NL"/>
        </w:rPr>
        <w:t>.</w:t>
      </w:r>
    </w:p>
    <w:p w14:paraId="2A336203" w14:textId="77777777" w:rsidR="00A34065" w:rsidRDefault="00A34065" w:rsidP="00A34065">
      <w:pPr>
        <w:shd w:val="clear" w:color="auto" w:fill="FFFFFF"/>
        <w:tabs>
          <w:tab w:val="left" w:pos="540"/>
        </w:tabs>
        <w:spacing w:before="120" w:after="0" w:line="240" w:lineRule="auto"/>
        <w:jc w:val="both"/>
        <w:rPr>
          <w:rFonts w:ascii="Times New Roman" w:hAnsi="Times New Roman"/>
          <w:sz w:val="24"/>
          <w:szCs w:val="24"/>
        </w:rPr>
      </w:pPr>
      <w:r>
        <w:rPr>
          <w:rFonts w:ascii="Times New Roman" w:hAnsi="Times New Roman"/>
          <w:sz w:val="24"/>
          <w:szCs w:val="24"/>
          <w:lang w:val="nl-NL"/>
        </w:rPr>
        <w:lastRenderedPageBreak/>
        <w:t>Đánh giá chung, với các yếu tố cơ bản về giá trị kết hợp với các yếu tố định tính như phân tích ở trên cho thấy Thị trường Chứng khoán Việt Nam trong thời gian dài hạn sắp tới tiếp tục có những kịch bản sáng sủa cùng với kỳ vọng tiếp tục phục hồi dần và khởi sắc dần của nền kinh tế, tạo tiền đề cho sự phát triển lâu dài trong những năm tiếp theo; và dĩ nhiên bức tranh sáng sủa phải kèm theo những giả định về tác động từ các rủi ro từ bên ngoài không quá lớn, lạm phát và tỷ giá kiểm soát tiếp tục ổn định, rủi ro của hệ thống ngân hàng thương mại trong tầm kiểm soát</w:t>
      </w:r>
      <w:r w:rsidRPr="0001310B">
        <w:rPr>
          <w:rFonts w:ascii="Times New Roman" w:hAnsi="Times New Roman"/>
          <w:sz w:val="24"/>
          <w:szCs w:val="24"/>
        </w:rPr>
        <w:t>.</w:t>
      </w:r>
    </w:p>
    <w:p w14:paraId="26C532E3" w14:textId="77777777" w:rsidR="006F7C5E" w:rsidRPr="006F7C5E" w:rsidRDefault="006F7C5E" w:rsidP="0058782D">
      <w:pPr>
        <w:shd w:val="clear" w:color="auto" w:fill="FFFFFF"/>
        <w:tabs>
          <w:tab w:val="left" w:pos="540"/>
        </w:tabs>
        <w:spacing w:before="120" w:after="0" w:line="240" w:lineRule="auto"/>
        <w:jc w:val="both"/>
        <w:rPr>
          <w:rFonts w:ascii="Times New Roman" w:hAnsi="Times New Roman"/>
          <w:sz w:val="24"/>
          <w:szCs w:val="24"/>
        </w:rPr>
      </w:pPr>
    </w:p>
    <w:p w14:paraId="21E8272C" w14:textId="77777777" w:rsid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273E57">
        <w:rPr>
          <w:rFonts w:ascii="Times New Roman" w:hAnsi="Times New Roman"/>
          <w:b/>
          <w:sz w:val="24"/>
          <w:szCs w:val="24"/>
          <w:lang w:val="nl-NL"/>
        </w:rPr>
        <w:t>6</w:t>
      </w:r>
      <w:r w:rsidR="00BE6F63" w:rsidRPr="00273E57">
        <w:rPr>
          <w:rFonts w:ascii="Times New Roman" w:hAnsi="Times New Roman"/>
          <w:b/>
          <w:sz w:val="24"/>
          <w:szCs w:val="24"/>
          <w:lang w:val="nl-NL"/>
        </w:rPr>
        <w:t>. Thông tin khác</w:t>
      </w:r>
    </w:p>
    <w:p w14:paraId="72FF594F" w14:textId="59830EAC" w:rsidR="00062055" w:rsidRP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A44447">
        <w:rPr>
          <w:rFonts w:ascii="Times New Roman" w:hAnsi="Times New Roman"/>
          <w:b/>
          <w:sz w:val="24"/>
          <w:szCs w:val="24"/>
          <w:lang w:val="nl-NL"/>
        </w:rPr>
        <w:t>6.1.</w:t>
      </w:r>
      <w:r w:rsidR="00315A8E" w:rsidRPr="00A44447">
        <w:rPr>
          <w:rFonts w:ascii="Times New Roman" w:hAnsi="Times New Roman"/>
          <w:b/>
          <w:sz w:val="24"/>
          <w:szCs w:val="24"/>
          <w:lang w:val="nl-NL"/>
        </w:rPr>
        <w:t xml:space="preserve"> </w:t>
      </w:r>
      <w:r w:rsidR="00E92263" w:rsidRPr="00A44447">
        <w:rPr>
          <w:rFonts w:ascii="Times New Roman" w:hAnsi="Times New Roman"/>
          <w:b/>
          <w:sz w:val="24"/>
          <w:szCs w:val="24"/>
          <w:lang w:val="nl-NL"/>
        </w:rPr>
        <w:t>Ban điều hành Công ty quản lý Quỹ</w:t>
      </w:r>
      <w:r w:rsidR="005F16E8" w:rsidRPr="00A44447">
        <w:rPr>
          <w:rFonts w:ascii="Times New Roman" w:hAnsi="Times New Roman"/>
          <w:b/>
          <w:sz w:val="24"/>
          <w:szCs w:val="24"/>
          <w:lang w:val="nl-NL"/>
        </w:rPr>
        <w:t xml:space="preserve"> </w:t>
      </w:r>
      <w:r w:rsidR="00062055" w:rsidRPr="00A44447">
        <w:rPr>
          <w:rFonts w:ascii="Times New Roman" w:hAnsi="Times New Roman"/>
          <w:b/>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249EB" w:rsidRPr="00A90AB7" w14:paraId="06984D68" w14:textId="77777777" w:rsidTr="0083372E">
        <w:tc>
          <w:tcPr>
            <w:tcW w:w="2970" w:type="dxa"/>
          </w:tcPr>
          <w:p w14:paraId="75121A16" w14:textId="77777777" w:rsidR="00D249EB" w:rsidRPr="00DF533C" w:rsidRDefault="00D249EB" w:rsidP="00D249EB">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527FBF3E" w14:textId="77777777" w:rsidR="00D249EB" w:rsidRPr="00DF533C" w:rsidRDefault="00D249EB" w:rsidP="00D249EB">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09D8941B" w14:textId="77777777" w:rsidR="00D249EB" w:rsidRPr="00DF533C" w:rsidRDefault="00D249EB" w:rsidP="00D249EB">
            <w:pPr>
              <w:pStyle w:val="ListParagraph"/>
              <w:tabs>
                <w:tab w:val="left" w:pos="540"/>
              </w:tabs>
              <w:ind w:left="0"/>
              <w:rPr>
                <w:rFonts w:ascii="Times New Roman" w:hAnsi="Times New Roman"/>
                <w:iCs/>
                <w:sz w:val="24"/>
                <w:szCs w:val="24"/>
                <w:lang w:val="nl-NL"/>
              </w:rPr>
            </w:pPr>
          </w:p>
          <w:p w14:paraId="08D79F84" w14:textId="77777777" w:rsidR="00D249EB" w:rsidRPr="00A90AB7" w:rsidRDefault="00D249EB" w:rsidP="00D249EB">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76EBCF4E" w14:textId="77777777" w:rsidR="00D249EB" w:rsidRPr="00DF533C" w:rsidRDefault="00D249EB" w:rsidP="00D249EB">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4F7CCAE3"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01804182"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305DBFF1"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17993E5F"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6CFA7BDE"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606EE26E" w14:textId="77777777" w:rsidR="00D249EB" w:rsidRPr="00DF533C"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18F1720D" w14:textId="77777777" w:rsidR="00D249EB" w:rsidRPr="00DF533C" w:rsidRDefault="00D249EB" w:rsidP="00D249EB">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01B11945" w:rsidR="00D249EB" w:rsidRPr="00A90AB7" w:rsidRDefault="00D249EB" w:rsidP="00D249EB">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D249EB" w:rsidRPr="00A90AB7" w14:paraId="23FD3F9E" w14:textId="77777777" w:rsidTr="0083372E">
        <w:tc>
          <w:tcPr>
            <w:tcW w:w="2970" w:type="dxa"/>
          </w:tcPr>
          <w:p w14:paraId="0223168E" w14:textId="77777777" w:rsidR="00D249EB" w:rsidRDefault="00D249EB" w:rsidP="00D249EB">
            <w:pPr>
              <w:pStyle w:val="ListParagraph"/>
              <w:tabs>
                <w:tab w:val="left" w:pos="540"/>
              </w:tabs>
              <w:ind w:left="0"/>
              <w:rPr>
                <w:rFonts w:ascii="Times New Roman" w:hAnsi="Times New Roman"/>
                <w:b/>
                <w:bCs/>
                <w:iCs/>
                <w:sz w:val="24"/>
                <w:szCs w:val="24"/>
                <w:lang w:val="nl-NL"/>
              </w:rPr>
            </w:pPr>
            <w:r>
              <w:rPr>
                <w:rFonts w:ascii="Times New Roman" w:hAnsi="Times New Roman"/>
                <w:b/>
                <w:bCs/>
                <w:iCs/>
                <w:sz w:val="24"/>
                <w:szCs w:val="24"/>
                <w:lang w:val="nl-NL"/>
              </w:rPr>
              <w:t>Ông Fumihiko Kida</w:t>
            </w:r>
          </w:p>
          <w:p w14:paraId="0FF8AC3D" w14:textId="1724F8B1" w:rsidR="00D249EB" w:rsidRPr="00DF533C" w:rsidRDefault="00D249EB" w:rsidP="00D249EB">
            <w:pPr>
              <w:pStyle w:val="ListParagraph"/>
              <w:tabs>
                <w:tab w:val="left" w:pos="540"/>
              </w:tabs>
              <w:ind w:left="0"/>
              <w:rPr>
                <w:rFonts w:ascii="Times New Roman" w:hAnsi="Times New Roman"/>
                <w:b/>
                <w:bCs/>
                <w:iCs/>
                <w:sz w:val="24"/>
                <w:szCs w:val="24"/>
                <w:lang w:val="nl-NL"/>
              </w:rPr>
            </w:pPr>
            <w:r>
              <w:rPr>
                <w:rFonts w:ascii="Times New Roman" w:hAnsi="Times New Roman"/>
                <w:iCs/>
                <w:sz w:val="24"/>
                <w:szCs w:val="24"/>
                <w:lang w:val="nl-NL"/>
              </w:rPr>
              <w:t>Phó Giám đốc, Trưởng Bộ phận Kế hoạch Công ty và Quản trị Rủi ro</w:t>
            </w:r>
          </w:p>
        </w:tc>
        <w:tc>
          <w:tcPr>
            <w:tcW w:w="6390" w:type="dxa"/>
          </w:tcPr>
          <w:p w14:paraId="4CBF234B" w14:textId="77777777" w:rsidR="00D249EB" w:rsidRDefault="00D249EB" w:rsidP="00D249EB">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
                <w:i/>
                <w:sz w:val="24"/>
                <w:szCs w:val="24"/>
                <w:lang w:val="nl-NL"/>
              </w:rPr>
              <w:t>Trình độ chuyên môn</w:t>
            </w:r>
          </w:p>
          <w:p w14:paraId="5BB9CBB5" w14:textId="77777777" w:rsidR="00D249EB" w:rsidRPr="00A23EF9" w:rsidRDefault="00D249EB" w:rsidP="00D249EB">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Cử nhân Thương mại, Đại học Doshisha, Nhật Bản;</w:t>
            </w:r>
          </w:p>
          <w:p w14:paraId="01C8BE24" w14:textId="77777777" w:rsidR="00D249EB" w:rsidRPr="00A23EF9" w:rsidRDefault="00D249EB" w:rsidP="00D249EB">
            <w:pPr>
              <w:pStyle w:val="ListParagraph"/>
              <w:numPr>
                <w:ilvl w:val="0"/>
                <w:numId w:val="18"/>
              </w:numPr>
              <w:tabs>
                <w:tab w:val="left" w:pos="540"/>
              </w:tabs>
              <w:spacing w:before="120" w:after="0"/>
              <w:ind w:left="253" w:hanging="253"/>
              <w:jc w:val="both"/>
              <w:rPr>
                <w:rFonts w:ascii="Times New Roman" w:hAnsi="Times New Roman"/>
                <w:b/>
                <w:iCs/>
                <w:sz w:val="24"/>
                <w:szCs w:val="24"/>
                <w:lang w:val="nl-NL"/>
              </w:rPr>
            </w:pPr>
            <w:r>
              <w:rPr>
                <w:rFonts w:ascii="Times New Roman" w:hAnsi="Times New Roman"/>
                <w:bCs/>
                <w:iCs/>
                <w:sz w:val="24"/>
                <w:szCs w:val="24"/>
                <w:lang w:val="nl-NL"/>
              </w:rPr>
              <w:t>Chuyên gia Phân tích (Certified Member Analyst) của Hiệp hội Phân tích Chứng khoán Nhật Bản.</w:t>
            </w:r>
          </w:p>
          <w:p w14:paraId="0D332753" w14:textId="77777777" w:rsidR="00D249EB" w:rsidRDefault="00D249EB" w:rsidP="00D249EB">
            <w:pPr>
              <w:tabs>
                <w:tab w:val="left" w:pos="540"/>
              </w:tabs>
              <w:spacing w:before="120" w:after="0"/>
              <w:jc w:val="both"/>
              <w:rPr>
                <w:rFonts w:ascii="Times New Roman" w:hAnsi="Times New Roman"/>
                <w:b/>
                <w:i/>
                <w:sz w:val="24"/>
                <w:szCs w:val="24"/>
                <w:lang w:val="nl-NL"/>
              </w:rPr>
            </w:pPr>
            <w:r w:rsidRPr="00A23EF9">
              <w:rPr>
                <w:rFonts w:ascii="Times New Roman" w:hAnsi="Times New Roman"/>
                <w:b/>
                <w:i/>
                <w:sz w:val="24"/>
                <w:szCs w:val="24"/>
                <w:lang w:val="nl-NL"/>
              </w:rPr>
              <w:t>Kinh nghiệm làm việc</w:t>
            </w:r>
          </w:p>
          <w:p w14:paraId="51F44B65" w14:textId="7E785020" w:rsidR="00D249EB" w:rsidRPr="00DF533C" w:rsidRDefault="00D249EB" w:rsidP="00D249EB">
            <w:pPr>
              <w:pStyle w:val="ListParagraph"/>
              <w:tabs>
                <w:tab w:val="left" w:pos="540"/>
              </w:tabs>
              <w:spacing w:before="120" w:after="0"/>
              <w:ind w:left="0"/>
              <w:jc w:val="both"/>
              <w:rPr>
                <w:rFonts w:ascii="Times New Roman" w:hAnsi="Times New Roman"/>
                <w:b/>
                <w:i/>
                <w:sz w:val="24"/>
                <w:szCs w:val="24"/>
                <w:lang w:val="nl-NL"/>
              </w:rPr>
            </w:pPr>
            <w:r>
              <w:rPr>
                <w:rFonts w:ascii="Times New Roman" w:hAnsi="Times New Roman"/>
                <w:bCs/>
                <w:iCs/>
                <w:sz w:val="24"/>
                <w:szCs w:val="24"/>
                <w:lang w:val="nl-NL"/>
              </w:rPr>
              <w:lastRenderedPageBreak/>
              <w:t>Ông đã có hơn mười bốn (14) năm kinh nghiệm làm việc và nghiên cứu trong lĩnh vực tài chính, bảo hiểm và đầu tư ở nước ngoài. Trước khi sang Việt Nam làm việc tại Công ty, ông từng đảm nhiệm vị trí cấp cao tại Trung tâm Tài chính Doanh Nghiệp của Dai-ichi Life Nhật Bản, phụ trách nghiệp vụ thẩm định tín dụng và cho vay đối với các khoản vay ưu tiên, tài trợ cho vay các thương vụ mua thâu tóm bằng vốn vay và cho vay cấp vốn dựa trên tài sản. Trước đó, ông cũng có nhiều kinh nghiệm trong lĩnh vực quản lý và lập ngân sách đầu tư tại Dai-ichi Life Nhật Bản.</w:t>
            </w:r>
          </w:p>
        </w:tc>
      </w:tr>
    </w:tbl>
    <w:p w14:paraId="3BCAEBF7" w14:textId="77777777" w:rsidR="00572F1B" w:rsidRPr="00BF217F"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53D54D52" w:rsidR="00E92263"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6.2. </w:t>
      </w:r>
      <w:r w:rsidR="00BE1598" w:rsidRPr="00A44447">
        <w:rPr>
          <w:rFonts w:ascii="Times New Roman" w:hAnsi="Times New Roman"/>
          <w:b/>
          <w:bCs/>
          <w:sz w:val="24"/>
          <w:szCs w:val="24"/>
          <w:lang w:val="nl-NL"/>
        </w:rPr>
        <w:t>Người điều hành Quỹ</w:t>
      </w:r>
    </w:p>
    <w:p w14:paraId="39042446" w14:textId="77777777" w:rsidR="00335F45" w:rsidRPr="00A44447" w:rsidRDefault="00335F45" w:rsidP="00A44447">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249EB" w:rsidRPr="00A90AB7" w14:paraId="59D5C2CB" w14:textId="77777777" w:rsidTr="0083372E">
        <w:tc>
          <w:tcPr>
            <w:tcW w:w="2970" w:type="dxa"/>
          </w:tcPr>
          <w:p w14:paraId="0FB2FB77" w14:textId="77777777" w:rsidR="00D249EB" w:rsidRPr="007B27C8" w:rsidRDefault="00D249EB" w:rsidP="00D249EB">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33F3DDEF" w14:textId="6065CDCF" w:rsidR="00D249EB" w:rsidRPr="007B27C8" w:rsidRDefault="00D249EB" w:rsidP="00D249EB">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Giám đốc Đầu tư</w:t>
            </w:r>
          </w:p>
        </w:tc>
        <w:tc>
          <w:tcPr>
            <w:tcW w:w="6390" w:type="dxa"/>
          </w:tcPr>
          <w:p w14:paraId="4A8170BB" w14:textId="77777777" w:rsidR="00D249EB" w:rsidRPr="007B27C8" w:rsidRDefault="00D249EB" w:rsidP="00D249EB">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62CEA5F3"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2CC14A53"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0E4D0CF9"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CFO của PACE phối hợp với Học viện Quản trị Tài chính Hoa Kỳ AAFM;</w:t>
            </w:r>
          </w:p>
          <w:p w14:paraId="3CF7767D" w14:textId="77777777" w:rsidR="00D249EB" w:rsidRPr="007B27C8"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7C895E91" w14:textId="77777777" w:rsidR="00D249EB" w:rsidRPr="007B27C8" w:rsidRDefault="00D249EB" w:rsidP="00D249EB">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C7FB1D3" w14:textId="3CFDD39E" w:rsidR="00D249EB" w:rsidRPr="007B27C8" w:rsidRDefault="00D249EB" w:rsidP="00D249EB">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t xml:space="preserve">Ông có hơn mười lăm (15) năm làm việc trong lĩnh vực đầu tư, tài chính ngân hàng, trong đó có hơn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D249EB" w:rsidRPr="00A90AB7" w14:paraId="3AD01E93" w14:textId="77777777" w:rsidTr="0083372E">
        <w:tc>
          <w:tcPr>
            <w:tcW w:w="2970" w:type="dxa"/>
          </w:tcPr>
          <w:p w14:paraId="1665C3A1" w14:textId="77777777" w:rsidR="00D249EB" w:rsidRPr="007B27C8" w:rsidRDefault="00D249EB" w:rsidP="00D249EB">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590EC809" w14:textId="77777777" w:rsidR="00D249EB" w:rsidRPr="007B27C8" w:rsidRDefault="00D249EB" w:rsidP="00D249EB">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t xml:space="preserve">Trưởng phòng Cao cấp </w:t>
            </w:r>
          </w:p>
          <w:p w14:paraId="7E95BEBC" w14:textId="271CE53A" w:rsidR="00D249EB" w:rsidRPr="007B27C8" w:rsidRDefault="00D249EB" w:rsidP="00D249EB">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Bộ phận Nghiệp vụ Quản lý Quỹ</w:t>
            </w:r>
          </w:p>
        </w:tc>
        <w:tc>
          <w:tcPr>
            <w:tcW w:w="6390" w:type="dxa"/>
          </w:tcPr>
          <w:p w14:paraId="0646191A" w14:textId="77777777" w:rsidR="00D249EB" w:rsidRPr="007B27C8" w:rsidRDefault="00D249EB" w:rsidP="00D249EB">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4A3DAE85"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3B5D075F" w14:textId="77777777" w:rsidR="00D249EB" w:rsidRPr="007B27C8" w:rsidRDefault="00D249EB" w:rsidP="00D249EB">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chuyên ngành Kế toán-Kiểm toán, Đại học Văn Lang;</w:t>
            </w:r>
          </w:p>
          <w:p w14:paraId="7AF0A64B" w14:textId="77777777" w:rsidR="00D249EB" w:rsidRPr="007B27C8" w:rsidRDefault="00D249EB" w:rsidP="00D249EB">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7D2882D4" w14:textId="77777777" w:rsidR="00D249EB" w:rsidRPr="007B27C8" w:rsidRDefault="00D249EB" w:rsidP="00D249EB">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8853F09" w14:textId="162FFB53" w:rsidR="00D249EB" w:rsidRPr="007B27C8" w:rsidRDefault="00D249EB" w:rsidP="00D249EB">
            <w:pPr>
              <w:spacing w:before="120"/>
              <w:rPr>
                <w:rFonts w:ascii="Times New Roman" w:hAnsi="Times New Roman"/>
                <w:sz w:val="24"/>
                <w:szCs w:val="24"/>
                <w:lang w:val="nl-NL"/>
              </w:rPr>
            </w:pPr>
            <w:r w:rsidRPr="007B27C8">
              <w:rPr>
                <w:rFonts w:ascii="Times New Roman" w:hAnsi="Times New Roman"/>
                <w:sz w:val="24"/>
                <w:szCs w:val="24"/>
                <w:lang w:val="nl-NL"/>
              </w:rPr>
              <w:t xml:space="preserve">Trên mười bốn (14) năm làm việc trong lĩnh vực tài chính kế toán và đầu tư. Trong đó có hơn mười (10) năm kinh nghiệm quản lý tài sản tại các Công ty: Công ty TNHH Một Thành </w:t>
            </w:r>
            <w:r w:rsidRPr="007B27C8">
              <w:rPr>
                <w:rFonts w:ascii="Times New Roman" w:hAnsi="Times New Roman"/>
                <w:sz w:val="24"/>
                <w:szCs w:val="24"/>
                <w:lang w:val="nl-NL"/>
              </w:rPr>
              <w:lastRenderedPageBreak/>
              <w:t>Viên Quản lý Quỹ Dai-ichi Life Việt Nam và Công ty TNHH Bảo hiểm Nhân thọ Dai-ichi Việt Nam.</w:t>
            </w:r>
          </w:p>
        </w:tc>
      </w:tr>
    </w:tbl>
    <w:p w14:paraId="12134EE1" w14:textId="77777777" w:rsidR="00E242D5" w:rsidRDefault="00E242D5" w:rsidP="00A44447">
      <w:pPr>
        <w:shd w:val="clear" w:color="auto" w:fill="FFFFFF"/>
        <w:tabs>
          <w:tab w:val="left" w:pos="540"/>
        </w:tabs>
        <w:spacing w:before="120" w:after="0" w:line="240" w:lineRule="auto"/>
        <w:jc w:val="both"/>
        <w:rPr>
          <w:rFonts w:ascii="Times New Roman" w:hAnsi="Times New Roman"/>
          <w:b/>
          <w:bCs/>
          <w:sz w:val="24"/>
          <w:szCs w:val="24"/>
          <w:lang w:val="nl-NL"/>
        </w:rPr>
      </w:pPr>
    </w:p>
    <w:p w14:paraId="3B9AB041" w14:textId="1C58B48D" w:rsidR="00BE1598"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6.3. </w:t>
      </w:r>
      <w:r w:rsidR="004C7F20" w:rsidRPr="00A44447">
        <w:rPr>
          <w:rFonts w:ascii="Times New Roman" w:hAnsi="Times New Roman"/>
          <w:b/>
          <w:bCs/>
          <w:sz w:val="24"/>
          <w:szCs w:val="24"/>
          <w:lang w:val="nl-NL"/>
        </w:rPr>
        <w:t>Ban Đại diện Quỹ</w:t>
      </w:r>
    </w:p>
    <w:p w14:paraId="05BFA80F" w14:textId="77777777" w:rsidR="00E242D5" w:rsidRPr="00A44447" w:rsidRDefault="00E242D5" w:rsidP="00A44447">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CB1DA8" w:rsidRPr="00A90AB7" w14:paraId="73433A03" w14:textId="77777777" w:rsidTr="006E2436">
        <w:tc>
          <w:tcPr>
            <w:tcW w:w="2970" w:type="dxa"/>
          </w:tcPr>
          <w:p w14:paraId="154C3A76" w14:textId="77777777" w:rsidR="00CB1DA8" w:rsidRPr="00DF533C" w:rsidRDefault="00CB1DA8" w:rsidP="00CB1DA8">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286B8C52"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44C43AFB" w14:textId="77777777" w:rsidR="00CB1DA8" w:rsidRPr="00DF533C" w:rsidRDefault="00CB1DA8" w:rsidP="00CB1DA8">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37178234"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CB1DA8" w:rsidRPr="00A90AB7" w14:paraId="288605CE" w14:textId="77777777" w:rsidTr="006E2436">
        <w:tc>
          <w:tcPr>
            <w:tcW w:w="2970" w:type="dxa"/>
          </w:tcPr>
          <w:p w14:paraId="1DEAEC89" w14:textId="77777777" w:rsidR="00CB1DA8" w:rsidRPr="00DF533C" w:rsidRDefault="00CB1DA8" w:rsidP="00CB1DA8">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58811644"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12806F14" w14:textId="77777777" w:rsidR="00CB1DA8" w:rsidRPr="00DF533C" w:rsidRDefault="00CB1DA8" w:rsidP="00CB1DA8">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6431FBD9" w14:textId="77777777" w:rsidR="00CB1DA8" w:rsidRPr="00DF533C" w:rsidRDefault="00CB1DA8" w:rsidP="00CB1DA8">
            <w:pPr>
              <w:rPr>
                <w:rFonts w:ascii="Times New Roman" w:hAnsi="Times New Roman"/>
                <w:sz w:val="24"/>
                <w:szCs w:val="24"/>
                <w:lang w:val="nl-NL"/>
              </w:rPr>
            </w:pPr>
            <w:r w:rsidRPr="00DF533C">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6C97ACC4"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CB1DA8" w:rsidRPr="00A90AB7" w14:paraId="1FAC4175" w14:textId="77777777" w:rsidTr="006E2436">
        <w:tc>
          <w:tcPr>
            <w:tcW w:w="2970" w:type="dxa"/>
          </w:tcPr>
          <w:p w14:paraId="4FE46D9F" w14:textId="77777777" w:rsidR="00CB1DA8" w:rsidRPr="00DF533C" w:rsidRDefault="00CB1DA8" w:rsidP="00CB1DA8">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094E43FB" w:rsidR="00CB1DA8" w:rsidRPr="00A90AB7" w:rsidRDefault="00CB1DA8" w:rsidP="00CB1DA8">
            <w:pPr>
              <w:spacing w:before="120" w:after="120"/>
              <w:jc w:val="both"/>
              <w:rPr>
                <w:rFonts w:ascii="Times New Roman" w:hAnsi="Times New Roman"/>
                <w:sz w:val="24"/>
                <w:szCs w:val="24"/>
              </w:rPr>
            </w:pPr>
            <w:r w:rsidRPr="00DF533C">
              <w:rPr>
                <w:rFonts w:ascii="Times New Roman" w:hAnsi="Times New Roman"/>
                <w:iCs/>
                <w:sz w:val="24"/>
                <w:szCs w:val="24"/>
              </w:rPr>
              <w:t xml:space="preserve">Thành </w:t>
            </w:r>
            <w:proofErr w:type="spellStart"/>
            <w:r w:rsidRPr="00DF533C">
              <w:rPr>
                <w:rFonts w:ascii="Times New Roman" w:hAnsi="Times New Roman"/>
                <w:iCs/>
                <w:sz w:val="24"/>
                <w:szCs w:val="24"/>
              </w:rPr>
              <w:t>viên</w:t>
            </w:r>
            <w:proofErr w:type="spellEnd"/>
          </w:p>
        </w:tc>
        <w:tc>
          <w:tcPr>
            <w:tcW w:w="6390" w:type="dxa"/>
          </w:tcPr>
          <w:p w14:paraId="09AF339E" w14:textId="77777777" w:rsidR="00CB1DA8" w:rsidRPr="00DF533C" w:rsidRDefault="00CB1DA8" w:rsidP="00CB1DA8">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Công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215BF583" w14:textId="77777777" w:rsidR="00CB1DA8" w:rsidRPr="00DF533C" w:rsidRDefault="00CB1DA8" w:rsidP="00CB1DA8">
            <w:pPr>
              <w:rPr>
                <w:rFonts w:ascii="Times New Roman" w:hAnsi="Times New Roman"/>
                <w:sz w:val="24"/>
                <w:szCs w:val="24"/>
              </w:rPr>
            </w:pPr>
            <w:proofErr w:type="spellStart"/>
            <w:r w:rsidRPr="00DF533C">
              <w:rPr>
                <w:rFonts w:ascii="Times New Roman" w:hAnsi="Times New Roman"/>
                <w:sz w:val="24"/>
                <w:szCs w:val="24"/>
              </w:rPr>
              <w:lastRenderedPageBreak/>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Việt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Công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Các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5FE67682" w:rsidR="00CB1DA8" w:rsidRPr="00A90AB7" w:rsidRDefault="00CB1DA8" w:rsidP="00CB1DA8">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Thương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Quốc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Trường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Đoàn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Thành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Chí Minh</w:t>
            </w:r>
            <w:r>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r>
              <w:rPr>
                <w:rFonts w:ascii="Times New Roman" w:hAnsi="Times New Roman"/>
                <w:sz w:val="24"/>
                <w:szCs w:val="24"/>
              </w:rPr>
              <w:t xml:space="preserve">Liên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Việt Nam; </w:t>
            </w:r>
            <w:proofErr w:type="spellStart"/>
            <w:r>
              <w:rPr>
                <w:rFonts w:ascii="Times New Roman" w:hAnsi="Times New Roman"/>
                <w:sz w:val="24"/>
                <w:szCs w:val="24"/>
              </w:rPr>
              <w:t>và</w:t>
            </w:r>
            <w:proofErr w:type="spellEnd"/>
            <w:r>
              <w:rPr>
                <w:rFonts w:ascii="Times New Roman" w:hAnsi="Times New Roman"/>
                <w:sz w:val="24"/>
                <w:szCs w:val="24"/>
              </w:rPr>
              <w:t xml:space="preserve"> Thành </w:t>
            </w:r>
            <w:proofErr w:type="spellStart"/>
            <w:r>
              <w:rPr>
                <w:rFonts w:ascii="Times New Roman" w:hAnsi="Times New Roman"/>
                <w:sz w:val="24"/>
                <w:szCs w:val="24"/>
              </w:rPr>
              <w:t>viên</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sư</w:t>
            </w:r>
            <w:proofErr w:type="spellEnd"/>
            <w:r>
              <w:rPr>
                <w:rFonts w:ascii="Times New Roman" w:hAnsi="Times New Roman"/>
                <w:sz w:val="24"/>
                <w:szCs w:val="24"/>
              </w:rPr>
              <w:t xml:space="preserve"> Quốc </w:t>
            </w:r>
            <w:proofErr w:type="spellStart"/>
            <w:r>
              <w:rPr>
                <w:rFonts w:ascii="Times New Roman" w:hAnsi="Times New Roman"/>
                <w:sz w:val="24"/>
                <w:szCs w:val="24"/>
              </w:rPr>
              <w:t>tế</w:t>
            </w:r>
            <w:proofErr w:type="spellEnd"/>
            <w:r>
              <w:rPr>
                <w:rFonts w:ascii="Times New Roman" w:hAnsi="Times New Roman"/>
                <w:sz w:val="24"/>
                <w:szCs w:val="24"/>
              </w:rPr>
              <w:t xml:space="preserve"> (IBA).</w:t>
            </w:r>
          </w:p>
        </w:tc>
      </w:tr>
    </w:tbl>
    <w:p w14:paraId="0B24B535" w14:textId="7225CEFA" w:rsidR="00394460" w:rsidRPr="00335F45" w:rsidRDefault="00394460" w:rsidP="00315A8E">
      <w:pPr>
        <w:tabs>
          <w:tab w:val="left" w:pos="540"/>
        </w:tabs>
        <w:spacing w:before="120"/>
        <w:jc w:val="right"/>
        <w:rPr>
          <w:rFonts w:ascii="Times New Roman" w:eastAsia="Times New Roman" w:hAnsi="Times New Roman"/>
          <w:i/>
          <w:lang w:val="nl-NL"/>
        </w:rPr>
      </w:pPr>
      <w:r w:rsidRPr="00335F45">
        <w:rPr>
          <w:rFonts w:ascii="Times New Roman" w:eastAsia="Times New Roman" w:hAnsi="Times New Roman"/>
          <w:i/>
          <w:lang w:val="nl-NL"/>
        </w:rPr>
        <w:lastRenderedPageBreak/>
        <w:t>T</w:t>
      </w:r>
      <w:r w:rsidR="00A474F7" w:rsidRPr="00335F45">
        <w:rPr>
          <w:rFonts w:ascii="Times New Roman" w:eastAsia="Times New Roman" w:hAnsi="Times New Roman"/>
          <w:i/>
          <w:lang w:val="nl-NL"/>
        </w:rPr>
        <w:t>p</w:t>
      </w:r>
      <w:r w:rsidR="00E0018A" w:rsidRPr="00335F45">
        <w:rPr>
          <w:rFonts w:ascii="Times New Roman" w:eastAsia="Times New Roman" w:hAnsi="Times New Roman"/>
          <w:i/>
          <w:lang w:val="nl-NL"/>
        </w:rPr>
        <w:t>,</w:t>
      </w:r>
      <w:r w:rsidRPr="00335F45">
        <w:rPr>
          <w:rFonts w:ascii="Times New Roman" w:eastAsia="Times New Roman" w:hAnsi="Times New Roman"/>
          <w:i/>
          <w:lang w:val="nl-NL"/>
        </w:rPr>
        <w:t xml:space="preserve"> Hồ Chí Minh, ngày </w:t>
      </w:r>
      <w:r w:rsidR="00EF226D" w:rsidRPr="00335F45">
        <w:rPr>
          <w:rFonts w:ascii="Times New Roman" w:eastAsia="Times New Roman" w:hAnsi="Times New Roman"/>
          <w:i/>
          <w:lang w:val="nl-NL"/>
        </w:rPr>
        <w:t>1</w:t>
      </w:r>
      <w:r w:rsidR="00C31909">
        <w:rPr>
          <w:rFonts w:ascii="Times New Roman" w:eastAsia="Times New Roman" w:hAnsi="Times New Roman"/>
          <w:i/>
          <w:lang w:val="nl-NL"/>
        </w:rPr>
        <w:t>2</w:t>
      </w:r>
      <w:r w:rsidRPr="00335F45">
        <w:rPr>
          <w:rFonts w:ascii="Times New Roman" w:eastAsia="Times New Roman" w:hAnsi="Times New Roman"/>
          <w:i/>
          <w:lang w:val="nl-NL"/>
        </w:rPr>
        <w:t xml:space="preserve"> tháng </w:t>
      </w:r>
      <w:r w:rsidR="00C31909">
        <w:rPr>
          <w:rFonts w:ascii="Times New Roman" w:eastAsia="Times New Roman" w:hAnsi="Times New Roman"/>
          <w:i/>
          <w:lang w:val="nl-NL"/>
        </w:rPr>
        <w:t>0</w:t>
      </w:r>
      <w:r w:rsidR="00922DCE">
        <w:rPr>
          <w:rFonts w:ascii="Times New Roman" w:eastAsia="Times New Roman" w:hAnsi="Times New Roman"/>
          <w:i/>
          <w:lang w:val="nl-NL"/>
        </w:rPr>
        <w:t>7</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năm</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20</w:t>
      </w:r>
      <w:r w:rsidR="00935B7F" w:rsidRPr="00335F45">
        <w:rPr>
          <w:rFonts w:ascii="Times New Roman" w:eastAsia="Times New Roman" w:hAnsi="Times New Roman"/>
          <w:i/>
          <w:lang w:val="nl-NL"/>
        </w:rPr>
        <w:t>2</w:t>
      </w:r>
      <w:r w:rsidR="00C31909">
        <w:rPr>
          <w:rFonts w:ascii="Times New Roman" w:eastAsia="Times New Roman" w:hAnsi="Times New Roman"/>
          <w:i/>
          <w:lang w:val="nl-NL"/>
        </w:rPr>
        <w:t>4</w:t>
      </w:r>
    </w:p>
    <w:p w14:paraId="28D9C0EF" w14:textId="3E5ED8CE" w:rsidR="00394460" w:rsidRPr="00335F45" w:rsidRDefault="00394460" w:rsidP="00315A8E">
      <w:pPr>
        <w:tabs>
          <w:tab w:val="left" w:pos="540"/>
        </w:tabs>
        <w:spacing w:before="120"/>
        <w:jc w:val="right"/>
        <w:rPr>
          <w:rFonts w:ascii="Times New Roman" w:eastAsia="Times New Roman" w:hAnsi="Times New Roman"/>
          <w:b/>
          <w:lang w:val="nl-NL"/>
        </w:rPr>
      </w:pPr>
      <w:r w:rsidRPr="00335F45">
        <w:rPr>
          <w:rFonts w:ascii="Times New Roman" w:eastAsia="Times New Roman" w:hAnsi="Times New Roman"/>
          <w:b/>
          <w:lang w:val="nl-NL"/>
        </w:rPr>
        <w:t>CÔNG TY TNHH MTV QUẢN LÝ QUỸ DAI-ICHI LIFE VIỆT NAM</w:t>
      </w:r>
    </w:p>
    <w:p w14:paraId="7DDD6F39" w14:textId="0C90907E" w:rsidR="00335F45" w:rsidRDefault="00394460" w:rsidP="00335F45">
      <w:pPr>
        <w:tabs>
          <w:tab w:val="left" w:pos="540"/>
        </w:tabs>
        <w:spacing w:before="120" w:line="240" w:lineRule="auto"/>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Trần Châu Danh</w:t>
      </w:r>
    </w:p>
    <w:p w14:paraId="2103DA63" w14:textId="660F165A" w:rsidR="00335F45" w:rsidRDefault="00335F45" w:rsidP="00335F45">
      <w:pPr>
        <w:tabs>
          <w:tab w:val="left" w:pos="540"/>
        </w:tabs>
        <w:spacing w:before="120" w:line="240" w:lineRule="auto"/>
        <w:jc w:val="right"/>
        <w:rPr>
          <w:rFonts w:ascii="Times New Roman" w:eastAsia="Times New Roman" w:hAnsi="Times New Roman"/>
          <w:b/>
          <w:sz w:val="24"/>
          <w:szCs w:val="24"/>
          <w:lang w:val="nl-NL"/>
        </w:rPr>
      </w:pPr>
    </w:p>
    <w:p w14:paraId="0AE4D2BC" w14:textId="77777777" w:rsidR="00CB11D2" w:rsidRDefault="00CB11D2" w:rsidP="00335F45">
      <w:pPr>
        <w:tabs>
          <w:tab w:val="left" w:pos="540"/>
        </w:tabs>
        <w:spacing w:before="120" w:line="240" w:lineRule="auto"/>
        <w:jc w:val="right"/>
        <w:rPr>
          <w:rFonts w:ascii="Times New Roman" w:eastAsia="Times New Roman" w:hAnsi="Times New Roman"/>
          <w:b/>
          <w:sz w:val="24"/>
          <w:szCs w:val="24"/>
          <w:lang w:val="nl-NL"/>
        </w:rPr>
      </w:pPr>
    </w:p>
    <w:p w14:paraId="38233C52" w14:textId="77777777" w:rsidR="00CB11D2" w:rsidRDefault="00CB11D2" w:rsidP="00335F45">
      <w:pPr>
        <w:tabs>
          <w:tab w:val="left" w:pos="540"/>
        </w:tabs>
        <w:spacing w:before="120" w:line="240" w:lineRule="auto"/>
        <w:jc w:val="right"/>
        <w:rPr>
          <w:rFonts w:ascii="Times New Roman" w:eastAsia="Times New Roman" w:hAnsi="Times New Roman"/>
          <w:b/>
          <w:sz w:val="24"/>
          <w:szCs w:val="24"/>
          <w:lang w:val="nl-NL"/>
        </w:rPr>
      </w:pPr>
    </w:p>
    <w:p w14:paraId="3B2F491E" w14:textId="21DDD7C4" w:rsidR="00335F45" w:rsidRPr="00A90AB7" w:rsidRDefault="00335F45" w:rsidP="00335F45">
      <w:pPr>
        <w:tabs>
          <w:tab w:val="left" w:pos="540"/>
        </w:tabs>
        <w:spacing w:before="120" w:line="240" w:lineRule="auto"/>
        <w:jc w:val="right"/>
        <w:rPr>
          <w:rFonts w:ascii="Times New Roman" w:hAnsi="Times New Roman"/>
        </w:rPr>
      </w:pPr>
      <w:r>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p w14:paraId="1FC318D0" w14:textId="2014D187" w:rsidR="00335F45" w:rsidRPr="00A90AB7" w:rsidRDefault="00335F45" w:rsidP="00335F45">
      <w:pPr>
        <w:tabs>
          <w:tab w:val="left" w:pos="540"/>
        </w:tabs>
        <w:spacing w:before="120"/>
        <w:ind w:left="2880"/>
        <w:jc w:val="both"/>
        <w:rPr>
          <w:rFonts w:ascii="Times New Roman" w:eastAsia="Times New Roman" w:hAnsi="Times New Roman"/>
          <w:b/>
          <w:sz w:val="24"/>
          <w:szCs w:val="24"/>
          <w:lang w:val="nl-NL"/>
        </w:rPr>
      </w:pPr>
    </w:p>
    <w:sectPr w:rsidR="00335F45"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6A37E5"/>
    <w:multiLevelType w:val="hybridMultilevel"/>
    <w:tmpl w:val="3476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5"/>
  </w:num>
  <w:num w:numId="5" w16cid:durableId="893666029">
    <w:abstractNumId w:val="13"/>
  </w:num>
  <w:num w:numId="6" w16cid:durableId="276910628">
    <w:abstractNumId w:val="2"/>
  </w:num>
  <w:num w:numId="7" w16cid:durableId="1362052989">
    <w:abstractNumId w:val="11"/>
  </w:num>
  <w:num w:numId="8" w16cid:durableId="688024620">
    <w:abstractNumId w:val="10"/>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2"/>
  </w:num>
  <w:num w:numId="14" w16cid:durableId="2127000618">
    <w:abstractNumId w:val="7"/>
  </w:num>
  <w:num w:numId="15" w16cid:durableId="2082679086">
    <w:abstractNumId w:val="14"/>
  </w:num>
  <w:num w:numId="16" w16cid:durableId="708068801">
    <w:abstractNumId w:val="16"/>
  </w:num>
  <w:num w:numId="17" w16cid:durableId="348802331">
    <w:abstractNumId w:val="7"/>
  </w:num>
  <w:num w:numId="18" w16cid:durableId="17653030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0F11"/>
    <w:rsid w:val="000119B6"/>
    <w:rsid w:val="00012EEB"/>
    <w:rsid w:val="0001588B"/>
    <w:rsid w:val="00056F20"/>
    <w:rsid w:val="000600E0"/>
    <w:rsid w:val="00062055"/>
    <w:rsid w:val="00067968"/>
    <w:rsid w:val="00075787"/>
    <w:rsid w:val="00087AE7"/>
    <w:rsid w:val="00091CAB"/>
    <w:rsid w:val="00094E40"/>
    <w:rsid w:val="0009649C"/>
    <w:rsid w:val="000B431B"/>
    <w:rsid w:val="000C014D"/>
    <w:rsid w:val="000C4474"/>
    <w:rsid w:val="000C67AE"/>
    <w:rsid w:val="000D074B"/>
    <w:rsid w:val="000D3A01"/>
    <w:rsid w:val="000E3393"/>
    <w:rsid w:val="000E3B0B"/>
    <w:rsid w:val="000E5FE9"/>
    <w:rsid w:val="000F2123"/>
    <w:rsid w:val="000F3302"/>
    <w:rsid w:val="000F601D"/>
    <w:rsid w:val="001046F6"/>
    <w:rsid w:val="001048A2"/>
    <w:rsid w:val="00116153"/>
    <w:rsid w:val="00123825"/>
    <w:rsid w:val="00124294"/>
    <w:rsid w:val="00131315"/>
    <w:rsid w:val="001321D1"/>
    <w:rsid w:val="001330FC"/>
    <w:rsid w:val="00137C1F"/>
    <w:rsid w:val="00147E0F"/>
    <w:rsid w:val="00151BC4"/>
    <w:rsid w:val="00156661"/>
    <w:rsid w:val="001660FB"/>
    <w:rsid w:val="00171D24"/>
    <w:rsid w:val="00175EC7"/>
    <w:rsid w:val="0017714B"/>
    <w:rsid w:val="0018025F"/>
    <w:rsid w:val="00181336"/>
    <w:rsid w:val="00181C49"/>
    <w:rsid w:val="001966AE"/>
    <w:rsid w:val="001B0B30"/>
    <w:rsid w:val="001B784B"/>
    <w:rsid w:val="001C4B96"/>
    <w:rsid w:val="001D1DB5"/>
    <w:rsid w:val="001D49A9"/>
    <w:rsid w:val="001D6CAC"/>
    <w:rsid w:val="001E1E46"/>
    <w:rsid w:val="001E40A2"/>
    <w:rsid w:val="001E4811"/>
    <w:rsid w:val="00203124"/>
    <w:rsid w:val="002035EF"/>
    <w:rsid w:val="002058AC"/>
    <w:rsid w:val="00207FB7"/>
    <w:rsid w:val="00220EA1"/>
    <w:rsid w:val="002243DA"/>
    <w:rsid w:val="00245818"/>
    <w:rsid w:val="00253E8A"/>
    <w:rsid w:val="00260C52"/>
    <w:rsid w:val="002616E7"/>
    <w:rsid w:val="0026620B"/>
    <w:rsid w:val="00273E57"/>
    <w:rsid w:val="002841FF"/>
    <w:rsid w:val="002863A4"/>
    <w:rsid w:val="00290D33"/>
    <w:rsid w:val="002A14C7"/>
    <w:rsid w:val="002D4C06"/>
    <w:rsid w:val="002E1952"/>
    <w:rsid w:val="002F6454"/>
    <w:rsid w:val="003011A5"/>
    <w:rsid w:val="00315A8E"/>
    <w:rsid w:val="00324B82"/>
    <w:rsid w:val="00330319"/>
    <w:rsid w:val="003329D6"/>
    <w:rsid w:val="003355C3"/>
    <w:rsid w:val="00335F45"/>
    <w:rsid w:val="00360AD3"/>
    <w:rsid w:val="00363C83"/>
    <w:rsid w:val="0037268E"/>
    <w:rsid w:val="0037699B"/>
    <w:rsid w:val="00386B2A"/>
    <w:rsid w:val="003875D1"/>
    <w:rsid w:val="00390432"/>
    <w:rsid w:val="00394460"/>
    <w:rsid w:val="003A1BBA"/>
    <w:rsid w:val="003A4C1C"/>
    <w:rsid w:val="003A4D71"/>
    <w:rsid w:val="003B07B0"/>
    <w:rsid w:val="003D42C3"/>
    <w:rsid w:val="003E0EF5"/>
    <w:rsid w:val="003E3D5C"/>
    <w:rsid w:val="003F36B2"/>
    <w:rsid w:val="003F7CB7"/>
    <w:rsid w:val="004068AF"/>
    <w:rsid w:val="00420BBF"/>
    <w:rsid w:val="00424BCD"/>
    <w:rsid w:val="00450792"/>
    <w:rsid w:val="004532C3"/>
    <w:rsid w:val="00455789"/>
    <w:rsid w:val="004573A2"/>
    <w:rsid w:val="00460C69"/>
    <w:rsid w:val="0046119D"/>
    <w:rsid w:val="004647B9"/>
    <w:rsid w:val="00477DC2"/>
    <w:rsid w:val="00494F7E"/>
    <w:rsid w:val="004C3F63"/>
    <w:rsid w:val="004C7F20"/>
    <w:rsid w:val="004D7871"/>
    <w:rsid w:val="004E41BD"/>
    <w:rsid w:val="00505ACF"/>
    <w:rsid w:val="005146DD"/>
    <w:rsid w:val="0052162A"/>
    <w:rsid w:val="00523419"/>
    <w:rsid w:val="0052502D"/>
    <w:rsid w:val="0053202D"/>
    <w:rsid w:val="0053737B"/>
    <w:rsid w:val="005461C0"/>
    <w:rsid w:val="00551946"/>
    <w:rsid w:val="00551DCB"/>
    <w:rsid w:val="005523A8"/>
    <w:rsid w:val="00572F1B"/>
    <w:rsid w:val="0058767D"/>
    <w:rsid w:val="0058782D"/>
    <w:rsid w:val="0059531B"/>
    <w:rsid w:val="005A23DB"/>
    <w:rsid w:val="005A265A"/>
    <w:rsid w:val="005A4441"/>
    <w:rsid w:val="005A4E9C"/>
    <w:rsid w:val="005C58DA"/>
    <w:rsid w:val="005E3A0A"/>
    <w:rsid w:val="005E4081"/>
    <w:rsid w:val="005E4A6D"/>
    <w:rsid w:val="005E549F"/>
    <w:rsid w:val="005E77D1"/>
    <w:rsid w:val="005F16E8"/>
    <w:rsid w:val="005F188A"/>
    <w:rsid w:val="00620D22"/>
    <w:rsid w:val="00631DA1"/>
    <w:rsid w:val="00645CE0"/>
    <w:rsid w:val="00677949"/>
    <w:rsid w:val="006832E9"/>
    <w:rsid w:val="006871BD"/>
    <w:rsid w:val="006902A3"/>
    <w:rsid w:val="006A5246"/>
    <w:rsid w:val="006A7CC8"/>
    <w:rsid w:val="006B2F2D"/>
    <w:rsid w:val="006D6A1B"/>
    <w:rsid w:val="006E2436"/>
    <w:rsid w:val="006F7015"/>
    <w:rsid w:val="006F7C5E"/>
    <w:rsid w:val="00701DBC"/>
    <w:rsid w:val="00703342"/>
    <w:rsid w:val="007104D6"/>
    <w:rsid w:val="00713CC7"/>
    <w:rsid w:val="00747879"/>
    <w:rsid w:val="00753C12"/>
    <w:rsid w:val="00756A76"/>
    <w:rsid w:val="00763691"/>
    <w:rsid w:val="00764C46"/>
    <w:rsid w:val="00774ECC"/>
    <w:rsid w:val="00792A48"/>
    <w:rsid w:val="007959DC"/>
    <w:rsid w:val="007A2D4E"/>
    <w:rsid w:val="007B27C8"/>
    <w:rsid w:val="007B289D"/>
    <w:rsid w:val="007C5B05"/>
    <w:rsid w:val="007D0745"/>
    <w:rsid w:val="007F2DCF"/>
    <w:rsid w:val="007F66BE"/>
    <w:rsid w:val="008001E9"/>
    <w:rsid w:val="00804BBD"/>
    <w:rsid w:val="00816829"/>
    <w:rsid w:val="00826BB2"/>
    <w:rsid w:val="00830EAF"/>
    <w:rsid w:val="0083372E"/>
    <w:rsid w:val="008454EB"/>
    <w:rsid w:val="00860234"/>
    <w:rsid w:val="00860A96"/>
    <w:rsid w:val="008707C6"/>
    <w:rsid w:val="008731A7"/>
    <w:rsid w:val="008873DE"/>
    <w:rsid w:val="008939A1"/>
    <w:rsid w:val="008971AB"/>
    <w:rsid w:val="00897BB3"/>
    <w:rsid w:val="008A10EC"/>
    <w:rsid w:val="008B0C11"/>
    <w:rsid w:val="008D0C99"/>
    <w:rsid w:val="008D5113"/>
    <w:rsid w:val="008D629B"/>
    <w:rsid w:val="008E75CF"/>
    <w:rsid w:val="008F2B2D"/>
    <w:rsid w:val="008F3818"/>
    <w:rsid w:val="0090437A"/>
    <w:rsid w:val="009057C3"/>
    <w:rsid w:val="00912E19"/>
    <w:rsid w:val="00922DCE"/>
    <w:rsid w:val="00931464"/>
    <w:rsid w:val="0093157F"/>
    <w:rsid w:val="0093357C"/>
    <w:rsid w:val="00935B7F"/>
    <w:rsid w:val="0095587A"/>
    <w:rsid w:val="0096433E"/>
    <w:rsid w:val="0096793F"/>
    <w:rsid w:val="00967CA8"/>
    <w:rsid w:val="009747B1"/>
    <w:rsid w:val="00981F7A"/>
    <w:rsid w:val="00982758"/>
    <w:rsid w:val="00985B28"/>
    <w:rsid w:val="009C5637"/>
    <w:rsid w:val="009D5686"/>
    <w:rsid w:val="009D7171"/>
    <w:rsid w:val="009E4A9A"/>
    <w:rsid w:val="009F4856"/>
    <w:rsid w:val="00A002EB"/>
    <w:rsid w:val="00A04A2C"/>
    <w:rsid w:val="00A16D50"/>
    <w:rsid w:val="00A24E1D"/>
    <w:rsid w:val="00A26229"/>
    <w:rsid w:val="00A27B9B"/>
    <w:rsid w:val="00A34065"/>
    <w:rsid w:val="00A354B3"/>
    <w:rsid w:val="00A377D1"/>
    <w:rsid w:val="00A42F64"/>
    <w:rsid w:val="00A44447"/>
    <w:rsid w:val="00A474F7"/>
    <w:rsid w:val="00A62B81"/>
    <w:rsid w:val="00A81069"/>
    <w:rsid w:val="00A83802"/>
    <w:rsid w:val="00A85A99"/>
    <w:rsid w:val="00A85E80"/>
    <w:rsid w:val="00A90AB7"/>
    <w:rsid w:val="00A9573B"/>
    <w:rsid w:val="00AA40C7"/>
    <w:rsid w:val="00AB46A2"/>
    <w:rsid w:val="00AB604A"/>
    <w:rsid w:val="00AC398E"/>
    <w:rsid w:val="00AD411A"/>
    <w:rsid w:val="00AE3720"/>
    <w:rsid w:val="00AF4454"/>
    <w:rsid w:val="00AF7018"/>
    <w:rsid w:val="00B00350"/>
    <w:rsid w:val="00B0433F"/>
    <w:rsid w:val="00B10F95"/>
    <w:rsid w:val="00B16AFD"/>
    <w:rsid w:val="00B17BB1"/>
    <w:rsid w:val="00B31181"/>
    <w:rsid w:val="00B32217"/>
    <w:rsid w:val="00B32E8D"/>
    <w:rsid w:val="00B354D5"/>
    <w:rsid w:val="00B36EDD"/>
    <w:rsid w:val="00B55789"/>
    <w:rsid w:val="00B63DD9"/>
    <w:rsid w:val="00B649B2"/>
    <w:rsid w:val="00B73897"/>
    <w:rsid w:val="00B7729E"/>
    <w:rsid w:val="00B77864"/>
    <w:rsid w:val="00B83A50"/>
    <w:rsid w:val="00B83A7D"/>
    <w:rsid w:val="00B8402C"/>
    <w:rsid w:val="00B965B6"/>
    <w:rsid w:val="00B97429"/>
    <w:rsid w:val="00B97B26"/>
    <w:rsid w:val="00BA4D7F"/>
    <w:rsid w:val="00BD079F"/>
    <w:rsid w:val="00BE1598"/>
    <w:rsid w:val="00BE6F63"/>
    <w:rsid w:val="00BF217F"/>
    <w:rsid w:val="00BF44CF"/>
    <w:rsid w:val="00C02674"/>
    <w:rsid w:val="00C06905"/>
    <w:rsid w:val="00C07D3B"/>
    <w:rsid w:val="00C17A7C"/>
    <w:rsid w:val="00C31909"/>
    <w:rsid w:val="00C326B2"/>
    <w:rsid w:val="00C32781"/>
    <w:rsid w:val="00C3684A"/>
    <w:rsid w:val="00C41CA6"/>
    <w:rsid w:val="00C47453"/>
    <w:rsid w:val="00C5103F"/>
    <w:rsid w:val="00C527C7"/>
    <w:rsid w:val="00C5765C"/>
    <w:rsid w:val="00C62E0D"/>
    <w:rsid w:val="00C75064"/>
    <w:rsid w:val="00C8194B"/>
    <w:rsid w:val="00C83D1E"/>
    <w:rsid w:val="00CA76CF"/>
    <w:rsid w:val="00CB11D2"/>
    <w:rsid w:val="00CB1DA8"/>
    <w:rsid w:val="00CC0FF9"/>
    <w:rsid w:val="00CD495C"/>
    <w:rsid w:val="00D10122"/>
    <w:rsid w:val="00D11DF9"/>
    <w:rsid w:val="00D135E8"/>
    <w:rsid w:val="00D20DF1"/>
    <w:rsid w:val="00D249EB"/>
    <w:rsid w:val="00D32EB2"/>
    <w:rsid w:val="00D55232"/>
    <w:rsid w:val="00D66826"/>
    <w:rsid w:val="00D806C4"/>
    <w:rsid w:val="00D8541F"/>
    <w:rsid w:val="00D85C46"/>
    <w:rsid w:val="00DA30AE"/>
    <w:rsid w:val="00DC1FD1"/>
    <w:rsid w:val="00DD4AE4"/>
    <w:rsid w:val="00DF4383"/>
    <w:rsid w:val="00E0018A"/>
    <w:rsid w:val="00E03D4B"/>
    <w:rsid w:val="00E117F3"/>
    <w:rsid w:val="00E24141"/>
    <w:rsid w:val="00E242D5"/>
    <w:rsid w:val="00E32BB9"/>
    <w:rsid w:val="00E41DE8"/>
    <w:rsid w:val="00E47954"/>
    <w:rsid w:val="00E50F56"/>
    <w:rsid w:val="00E53446"/>
    <w:rsid w:val="00E630D3"/>
    <w:rsid w:val="00E66961"/>
    <w:rsid w:val="00E67CAC"/>
    <w:rsid w:val="00E67E98"/>
    <w:rsid w:val="00E74ED3"/>
    <w:rsid w:val="00E92263"/>
    <w:rsid w:val="00E95030"/>
    <w:rsid w:val="00EA03A4"/>
    <w:rsid w:val="00EA431F"/>
    <w:rsid w:val="00EB7C98"/>
    <w:rsid w:val="00EC15EC"/>
    <w:rsid w:val="00EC1DDD"/>
    <w:rsid w:val="00ED15C1"/>
    <w:rsid w:val="00ED4A9C"/>
    <w:rsid w:val="00EE0266"/>
    <w:rsid w:val="00EE2193"/>
    <w:rsid w:val="00EE3F61"/>
    <w:rsid w:val="00EF226D"/>
    <w:rsid w:val="00EF41E2"/>
    <w:rsid w:val="00F00770"/>
    <w:rsid w:val="00F01A1F"/>
    <w:rsid w:val="00F075DE"/>
    <w:rsid w:val="00F23C43"/>
    <w:rsid w:val="00F61CFC"/>
    <w:rsid w:val="00F6762A"/>
    <w:rsid w:val="00F72260"/>
    <w:rsid w:val="00F91FAC"/>
    <w:rsid w:val="00F92921"/>
    <w:rsid w:val="00FA0348"/>
    <w:rsid w:val="00FA2A53"/>
    <w:rsid w:val="00FB29CA"/>
    <w:rsid w:val="00FB7B6E"/>
    <w:rsid w:val="00FC1847"/>
    <w:rsid w:val="00FC1F89"/>
    <w:rsid w:val="00FE2BC9"/>
    <w:rsid w:val="00FE2C8E"/>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 w:type="paragraph" w:styleId="Revision">
    <w:name w:val="Revision"/>
    <w:hidden/>
    <w:uiPriority w:val="99"/>
    <w:semiHidden/>
    <w:rsid w:val="00C07D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15.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r>
              <a:rPr lang="en-US">
                <a:solidFill>
                  <a:schemeClr val="tx1"/>
                </a:solidFill>
              </a:rPr>
              <a:t>NAV/CCQ</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extLst>
              <c:ext xmlns:c16="http://schemas.microsoft.com/office/drawing/2014/chart" uri="{C3380CC4-5D6E-409C-BE32-E72D297353CC}">
                <c16:uniqueId val="{00000000-426C-47DA-A62B-9EB6A7738526}"/>
              </c:ext>
            </c:extLst>
          </c:dPt>
          <c:cat>
            <c:numRef>
              <c:f>Chart!$A$2:$A$337</c:f>
              <c:numCache>
                <c:formatCode>[$-409]d\-mmm\-yy;@</c:formatCode>
                <c:ptCount val="336"/>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pt idx="216">
                  <c:v>44760</c:v>
                </c:pt>
                <c:pt idx="217">
                  <c:v>44767</c:v>
                </c:pt>
                <c:pt idx="218">
                  <c:v>44773</c:v>
                </c:pt>
                <c:pt idx="219">
                  <c:v>44774</c:v>
                </c:pt>
                <c:pt idx="220">
                  <c:v>44781</c:v>
                </c:pt>
                <c:pt idx="221">
                  <c:v>44788</c:v>
                </c:pt>
                <c:pt idx="222">
                  <c:v>44795</c:v>
                </c:pt>
                <c:pt idx="223">
                  <c:v>44802</c:v>
                </c:pt>
                <c:pt idx="224">
                  <c:v>44804</c:v>
                </c:pt>
                <c:pt idx="225">
                  <c:v>44809</c:v>
                </c:pt>
                <c:pt idx="226">
                  <c:v>44816</c:v>
                </c:pt>
                <c:pt idx="227">
                  <c:v>44823</c:v>
                </c:pt>
                <c:pt idx="228">
                  <c:v>44830</c:v>
                </c:pt>
                <c:pt idx="229">
                  <c:v>44834</c:v>
                </c:pt>
                <c:pt idx="230">
                  <c:v>44837</c:v>
                </c:pt>
                <c:pt idx="231">
                  <c:v>44844</c:v>
                </c:pt>
                <c:pt idx="232">
                  <c:v>44851</c:v>
                </c:pt>
                <c:pt idx="233">
                  <c:v>44858</c:v>
                </c:pt>
                <c:pt idx="234">
                  <c:v>44865</c:v>
                </c:pt>
                <c:pt idx="235">
                  <c:v>44872</c:v>
                </c:pt>
                <c:pt idx="236">
                  <c:v>44879</c:v>
                </c:pt>
                <c:pt idx="237">
                  <c:v>44886</c:v>
                </c:pt>
                <c:pt idx="238">
                  <c:v>44893</c:v>
                </c:pt>
                <c:pt idx="239">
                  <c:v>44895</c:v>
                </c:pt>
                <c:pt idx="240">
                  <c:v>44900</c:v>
                </c:pt>
                <c:pt idx="241">
                  <c:v>44907</c:v>
                </c:pt>
                <c:pt idx="242">
                  <c:v>44914</c:v>
                </c:pt>
                <c:pt idx="243">
                  <c:v>44921</c:v>
                </c:pt>
                <c:pt idx="244">
                  <c:v>44926</c:v>
                </c:pt>
                <c:pt idx="245">
                  <c:v>44928</c:v>
                </c:pt>
                <c:pt idx="246">
                  <c:v>44935</c:v>
                </c:pt>
                <c:pt idx="247">
                  <c:v>44942</c:v>
                </c:pt>
                <c:pt idx="248">
                  <c:v>44956</c:v>
                </c:pt>
                <c:pt idx="249">
                  <c:v>44957</c:v>
                </c:pt>
                <c:pt idx="250">
                  <c:v>44963</c:v>
                </c:pt>
                <c:pt idx="251">
                  <c:v>44970</c:v>
                </c:pt>
                <c:pt idx="252">
                  <c:v>44977</c:v>
                </c:pt>
                <c:pt idx="253">
                  <c:v>44984</c:v>
                </c:pt>
                <c:pt idx="254">
                  <c:v>44985</c:v>
                </c:pt>
                <c:pt idx="255">
                  <c:v>44991</c:v>
                </c:pt>
                <c:pt idx="256">
                  <c:v>44998</c:v>
                </c:pt>
                <c:pt idx="257">
                  <c:v>45005</c:v>
                </c:pt>
                <c:pt idx="258">
                  <c:v>45012</c:v>
                </c:pt>
                <c:pt idx="259">
                  <c:v>45016</c:v>
                </c:pt>
                <c:pt idx="260">
                  <c:v>45019</c:v>
                </c:pt>
                <c:pt idx="261">
                  <c:v>45026</c:v>
                </c:pt>
                <c:pt idx="262">
                  <c:v>45033</c:v>
                </c:pt>
                <c:pt idx="263">
                  <c:v>45040</c:v>
                </c:pt>
                <c:pt idx="264">
                  <c:v>45046</c:v>
                </c:pt>
                <c:pt idx="265">
                  <c:v>45054</c:v>
                </c:pt>
                <c:pt idx="266">
                  <c:v>45061</c:v>
                </c:pt>
                <c:pt idx="267">
                  <c:v>45068</c:v>
                </c:pt>
                <c:pt idx="268">
                  <c:v>45075</c:v>
                </c:pt>
                <c:pt idx="269">
                  <c:v>45077</c:v>
                </c:pt>
                <c:pt idx="270">
                  <c:v>45082</c:v>
                </c:pt>
                <c:pt idx="271">
                  <c:v>45089</c:v>
                </c:pt>
                <c:pt idx="272">
                  <c:v>45096</c:v>
                </c:pt>
                <c:pt idx="273">
                  <c:v>45103</c:v>
                </c:pt>
                <c:pt idx="274">
                  <c:v>45107</c:v>
                </c:pt>
                <c:pt idx="275">
                  <c:v>45110</c:v>
                </c:pt>
                <c:pt idx="276">
                  <c:v>45117</c:v>
                </c:pt>
                <c:pt idx="277">
                  <c:v>45124</c:v>
                </c:pt>
                <c:pt idx="278">
                  <c:v>45131</c:v>
                </c:pt>
                <c:pt idx="279">
                  <c:v>45138</c:v>
                </c:pt>
                <c:pt idx="280">
                  <c:v>45145</c:v>
                </c:pt>
                <c:pt idx="281">
                  <c:v>45152</c:v>
                </c:pt>
                <c:pt idx="282">
                  <c:v>45159</c:v>
                </c:pt>
                <c:pt idx="283">
                  <c:v>45166</c:v>
                </c:pt>
                <c:pt idx="284">
                  <c:v>45169</c:v>
                </c:pt>
                <c:pt idx="285">
                  <c:v>45173</c:v>
                </c:pt>
                <c:pt idx="286">
                  <c:v>45180</c:v>
                </c:pt>
                <c:pt idx="287">
                  <c:v>45187</c:v>
                </c:pt>
                <c:pt idx="288">
                  <c:v>45194</c:v>
                </c:pt>
                <c:pt idx="289">
                  <c:v>45199</c:v>
                </c:pt>
                <c:pt idx="290">
                  <c:v>45201</c:v>
                </c:pt>
                <c:pt idx="291">
                  <c:v>45208</c:v>
                </c:pt>
                <c:pt idx="292">
                  <c:v>45215</c:v>
                </c:pt>
                <c:pt idx="293">
                  <c:v>45222</c:v>
                </c:pt>
                <c:pt idx="294">
                  <c:v>45229</c:v>
                </c:pt>
                <c:pt idx="295">
                  <c:v>45230</c:v>
                </c:pt>
                <c:pt idx="296">
                  <c:v>45236</c:v>
                </c:pt>
                <c:pt idx="297">
                  <c:v>45243</c:v>
                </c:pt>
                <c:pt idx="298">
                  <c:v>45250</c:v>
                </c:pt>
                <c:pt idx="299">
                  <c:v>45257</c:v>
                </c:pt>
                <c:pt idx="300">
                  <c:v>45260</c:v>
                </c:pt>
                <c:pt idx="301">
                  <c:v>45264</c:v>
                </c:pt>
                <c:pt idx="302">
                  <c:v>45271</c:v>
                </c:pt>
                <c:pt idx="303">
                  <c:v>45278</c:v>
                </c:pt>
                <c:pt idx="304">
                  <c:v>45285</c:v>
                </c:pt>
                <c:pt idx="305">
                  <c:v>45291</c:v>
                </c:pt>
                <c:pt idx="306">
                  <c:v>45292</c:v>
                </c:pt>
                <c:pt idx="307">
                  <c:v>45299</c:v>
                </c:pt>
                <c:pt idx="308">
                  <c:v>45306</c:v>
                </c:pt>
                <c:pt idx="309">
                  <c:v>45313</c:v>
                </c:pt>
                <c:pt idx="310">
                  <c:v>45320</c:v>
                </c:pt>
                <c:pt idx="311">
                  <c:v>45322</c:v>
                </c:pt>
                <c:pt idx="312">
                  <c:v>45327</c:v>
                </c:pt>
                <c:pt idx="313">
                  <c:v>45341</c:v>
                </c:pt>
                <c:pt idx="314">
                  <c:v>45348</c:v>
                </c:pt>
                <c:pt idx="315">
                  <c:v>45351</c:v>
                </c:pt>
                <c:pt idx="316">
                  <c:v>45355</c:v>
                </c:pt>
                <c:pt idx="317">
                  <c:v>45362</c:v>
                </c:pt>
                <c:pt idx="318">
                  <c:v>45369</c:v>
                </c:pt>
                <c:pt idx="319">
                  <c:v>45376</c:v>
                </c:pt>
                <c:pt idx="320">
                  <c:v>45382</c:v>
                </c:pt>
                <c:pt idx="321">
                  <c:v>45383</c:v>
                </c:pt>
                <c:pt idx="322">
                  <c:v>45390</c:v>
                </c:pt>
                <c:pt idx="323">
                  <c:v>45397</c:v>
                </c:pt>
                <c:pt idx="324">
                  <c:v>45404</c:v>
                </c:pt>
                <c:pt idx="325">
                  <c:v>45412</c:v>
                </c:pt>
                <c:pt idx="326">
                  <c:v>45418</c:v>
                </c:pt>
                <c:pt idx="327">
                  <c:v>45425</c:v>
                </c:pt>
                <c:pt idx="328">
                  <c:v>45432</c:v>
                </c:pt>
                <c:pt idx="329">
                  <c:v>45439</c:v>
                </c:pt>
                <c:pt idx="330">
                  <c:v>45443</c:v>
                </c:pt>
                <c:pt idx="331">
                  <c:v>45446</c:v>
                </c:pt>
                <c:pt idx="332">
                  <c:v>45453</c:v>
                </c:pt>
                <c:pt idx="333">
                  <c:v>45460</c:v>
                </c:pt>
                <c:pt idx="334">
                  <c:v>45467</c:v>
                </c:pt>
                <c:pt idx="335">
                  <c:v>45473</c:v>
                </c:pt>
              </c:numCache>
            </c:numRef>
          </c:cat>
          <c:val>
            <c:numRef>
              <c:f>Chart!$B$2:$B$337</c:f>
              <c:numCache>
                <c:formatCode>_(* #,##0.00_);_(* \(#,##0.00\);_(* "-"??_);_(@_)</c:formatCode>
                <c:ptCount val="336"/>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pt idx="216">
                  <c:v>13529.64</c:v>
                </c:pt>
                <c:pt idx="217">
                  <c:v>13660.17</c:v>
                </c:pt>
                <c:pt idx="218">
                  <c:v>13859</c:v>
                </c:pt>
                <c:pt idx="219">
                  <c:v>14187.79</c:v>
                </c:pt>
                <c:pt idx="220">
                  <c:v>14416.16</c:v>
                </c:pt>
                <c:pt idx="221">
                  <c:v>14582.84</c:v>
                </c:pt>
                <c:pt idx="222">
                  <c:v>14413.71</c:v>
                </c:pt>
                <c:pt idx="223">
                  <c:v>14701.53</c:v>
                </c:pt>
                <c:pt idx="224">
                  <c:v>14781.95</c:v>
                </c:pt>
                <c:pt idx="225">
                  <c:v>14814.45</c:v>
                </c:pt>
                <c:pt idx="226">
                  <c:v>14470.75</c:v>
                </c:pt>
                <c:pt idx="227">
                  <c:v>13865.75</c:v>
                </c:pt>
                <c:pt idx="228">
                  <c:v>13547.76</c:v>
                </c:pt>
                <c:pt idx="229">
                  <c:v>13168.95</c:v>
                </c:pt>
                <c:pt idx="230">
                  <c:v>12610.71</c:v>
                </c:pt>
                <c:pt idx="231">
                  <c:v>12210.86</c:v>
                </c:pt>
                <c:pt idx="232">
                  <c:v>12671.04</c:v>
                </c:pt>
                <c:pt idx="233">
                  <c:v>11796.59</c:v>
                </c:pt>
                <c:pt idx="234">
                  <c:v>12430.84</c:v>
                </c:pt>
                <c:pt idx="235">
                  <c:v>11878.11</c:v>
                </c:pt>
                <c:pt idx="236">
                  <c:v>11505.8</c:v>
                </c:pt>
                <c:pt idx="237">
                  <c:v>11501.69</c:v>
                </c:pt>
                <c:pt idx="238">
                  <c:v>12135.15</c:v>
                </c:pt>
                <c:pt idx="239">
                  <c:v>12529.57</c:v>
                </c:pt>
                <c:pt idx="240">
                  <c:v>12979.93</c:v>
                </c:pt>
                <c:pt idx="241">
                  <c:v>12504.06</c:v>
                </c:pt>
                <c:pt idx="242">
                  <c:v>12583.76</c:v>
                </c:pt>
                <c:pt idx="243">
                  <c:v>12057.58</c:v>
                </c:pt>
                <c:pt idx="244">
                  <c:v>12299.93</c:v>
                </c:pt>
                <c:pt idx="245">
                  <c:v>12298.45</c:v>
                </c:pt>
                <c:pt idx="246">
                  <c:v>12737.19</c:v>
                </c:pt>
                <c:pt idx="247">
                  <c:v>12820.47</c:v>
                </c:pt>
                <c:pt idx="248">
                  <c:v>13232.68</c:v>
                </c:pt>
                <c:pt idx="249">
                  <c:v>13363.38</c:v>
                </c:pt>
                <c:pt idx="250">
                  <c:v>13099.74</c:v>
                </c:pt>
                <c:pt idx="251">
                  <c:v>12654.34</c:v>
                </c:pt>
                <c:pt idx="252">
                  <c:v>13199.7</c:v>
                </c:pt>
                <c:pt idx="253">
                  <c:v>12414.16</c:v>
                </c:pt>
                <c:pt idx="254">
                  <c:v>12456.75</c:v>
                </c:pt>
                <c:pt idx="255">
                  <c:v>12463.81</c:v>
                </c:pt>
                <c:pt idx="256">
                  <c:v>12714.18</c:v>
                </c:pt>
                <c:pt idx="257">
                  <c:v>12323.24</c:v>
                </c:pt>
                <c:pt idx="258">
                  <c:v>12613.16</c:v>
                </c:pt>
                <c:pt idx="259">
                  <c:v>12704.64</c:v>
                </c:pt>
                <c:pt idx="260">
                  <c:v>12872.12</c:v>
                </c:pt>
                <c:pt idx="261">
                  <c:v>12737.82</c:v>
                </c:pt>
                <c:pt idx="262">
                  <c:v>12595.15</c:v>
                </c:pt>
                <c:pt idx="263">
                  <c:v>12419.79</c:v>
                </c:pt>
                <c:pt idx="264">
                  <c:v>12514.69</c:v>
                </c:pt>
                <c:pt idx="265">
                  <c:v>12573.15</c:v>
                </c:pt>
                <c:pt idx="266">
                  <c:v>12645.86</c:v>
                </c:pt>
                <c:pt idx="267">
                  <c:v>12690.73</c:v>
                </c:pt>
                <c:pt idx="268">
                  <c:v>12670.93</c:v>
                </c:pt>
                <c:pt idx="269">
                  <c:v>12688.81</c:v>
                </c:pt>
                <c:pt idx="270">
                  <c:v>12963.13</c:v>
                </c:pt>
                <c:pt idx="271">
                  <c:v>13075.34</c:v>
                </c:pt>
                <c:pt idx="272">
                  <c:v>13027.02</c:v>
                </c:pt>
                <c:pt idx="273">
                  <c:v>13378.04</c:v>
                </c:pt>
                <c:pt idx="274">
                  <c:v>13315.12</c:v>
                </c:pt>
                <c:pt idx="275">
                  <c:v>13368.95</c:v>
                </c:pt>
                <c:pt idx="276">
                  <c:v>13668.09</c:v>
                </c:pt>
                <c:pt idx="277">
                  <c:v>13898.44</c:v>
                </c:pt>
                <c:pt idx="278">
                  <c:v>14113.87</c:v>
                </c:pt>
                <c:pt idx="279">
                  <c:v>14508.84</c:v>
                </c:pt>
                <c:pt idx="280">
                  <c:v>14544.88</c:v>
                </c:pt>
                <c:pt idx="281">
                  <c:v>14345.88</c:v>
                </c:pt>
                <c:pt idx="282">
                  <c:v>13894.24</c:v>
                </c:pt>
                <c:pt idx="283">
                  <c:v>14188.42</c:v>
                </c:pt>
                <c:pt idx="284">
                  <c:v>14550.66</c:v>
                </c:pt>
                <c:pt idx="285">
                  <c:v>14547.33</c:v>
                </c:pt>
                <c:pt idx="286">
                  <c:v>14664.51</c:v>
                </c:pt>
                <c:pt idx="287">
                  <c:v>14623.49</c:v>
                </c:pt>
                <c:pt idx="288">
                  <c:v>14048.41</c:v>
                </c:pt>
                <c:pt idx="289">
                  <c:v>14057.12</c:v>
                </c:pt>
                <c:pt idx="290">
                  <c:v>14065.08</c:v>
                </c:pt>
                <c:pt idx="291">
                  <c:v>13913.04</c:v>
                </c:pt>
                <c:pt idx="292">
                  <c:v>14069.14</c:v>
                </c:pt>
                <c:pt idx="293">
                  <c:v>13440.23</c:v>
                </c:pt>
                <c:pt idx="294">
                  <c:v>12861.96</c:v>
                </c:pt>
                <c:pt idx="295">
                  <c:v>12710.1</c:v>
                </c:pt>
                <c:pt idx="296">
                  <c:v>13410.04</c:v>
                </c:pt>
                <c:pt idx="297">
                  <c:v>13624.87</c:v>
                </c:pt>
                <c:pt idx="298">
                  <c:v>13649.38</c:v>
                </c:pt>
                <c:pt idx="299">
                  <c:v>13444.92</c:v>
                </c:pt>
                <c:pt idx="300">
                  <c:v>13523.48</c:v>
                </c:pt>
                <c:pt idx="301">
                  <c:v>13817.2</c:v>
                </c:pt>
                <c:pt idx="302">
                  <c:v>13850.87</c:v>
                </c:pt>
                <c:pt idx="303">
                  <c:v>13461.22</c:v>
                </c:pt>
                <c:pt idx="304">
                  <c:v>13747.21</c:v>
                </c:pt>
                <c:pt idx="305">
                  <c:v>13891.27</c:v>
                </c:pt>
                <c:pt idx="306">
                  <c:v>13890.48</c:v>
                </c:pt>
                <c:pt idx="307">
                  <c:v>14280.92</c:v>
                </c:pt>
                <c:pt idx="308">
                  <c:v>14145.05</c:v>
                </c:pt>
                <c:pt idx="309">
                  <c:v>14489.91</c:v>
                </c:pt>
                <c:pt idx="310">
                  <c:v>14452.39</c:v>
                </c:pt>
                <c:pt idx="311">
                  <c:v>14306.02</c:v>
                </c:pt>
                <c:pt idx="312">
                  <c:v>14783.36</c:v>
                </c:pt>
                <c:pt idx="313">
                  <c:v>15111.55</c:v>
                </c:pt>
                <c:pt idx="314">
                  <c:v>15095.42</c:v>
                </c:pt>
                <c:pt idx="315">
                  <c:v>15549.08</c:v>
                </c:pt>
                <c:pt idx="316">
                  <c:v>15719.3</c:v>
                </c:pt>
                <c:pt idx="317">
                  <c:v>15412.71</c:v>
                </c:pt>
                <c:pt idx="318">
                  <c:v>15618.28</c:v>
                </c:pt>
                <c:pt idx="319">
                  <c:v>15844.92</c:v>
                </c:pt>
                <c:pt idx="320">
                  <c:v>16056.77</c:v>
                </c:pt>
                <c:pt idx="321">
                  <c:v>16056.86</c:v>
                </c:pt>
                <c:pt idx="322">
                  <c:v>15609.33</c:v>
                </c:pt>
                <c:pt idx="323">
                  <c:v>15101.46</c:v>
                </c:pt>
                <c:pt idx="324">
                  <c:v>14802.04</c:v>
                </c:pt>
                <c:pt idx="325">
                  <c:v>15249.92</c:v>
                </c:pt>
                <c:pt idx="326">
                  <c:v>15672.77</c:v>
                </c:pt>
                <c:pt idx="327">
                  <c:v>15732.73</c:v>
                </c:pt>
                <c:pt idx="328">
                  <c:v>16163.22</c:v>
                </c:pt>
                <c:pt idx="329">
                  <c:v>16070.48</c:v>
                </c:pt>
                <c:pt idx="330">
                  <c:v>15984.78</c:v>
                </c:pt>
                <c:pt idx="331">
                  <c:v>16235.08</c:v>
                </c:pt>
                <c:pt idx="332">
                  <c:v>16473.810000000001</c:v>
                </c:pt>
                <c:pt idx="333">
                  <c:v>16356.59</c:v>
                </c:pt>
                <c:pt idx="334">
                  <c:v>16130.44</c:v>
                </c:pt>
                <c:pt idx="335">
                  <c:v>15939.53</c:v>
                </c:pt>
              </c:numCache>
            </c:numRef>
          </c:val>
          <c:smooth val="0"/>
          <c:extLst>
            <c:ext xmlns:c16="http://schemas.microsoft.com/office/drawing/2014/chart" uri="{C3380CC4-5D6E-409C-BE32-E72D297353CC}">
              <c16:uniqueId val="{00000001-426C-47DA-A62B-9EB6A7738526}"/>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m/d/yyyy"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8596872"/>
        <c:crosses val="autoZero"/>
        <c:crossBetween val="between"/>
        <c:majorUnit val="500"/>
        <c:min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MDu4UjEioSJDU22q/x52JguWAXuliGuKQ7hXMGeg4Sg=</DigestValue>
    </Reference>
    <Reference Type="http://www.w3.org/2000/09/xmldsig#Object" URI="#idOfficeObject">
      <DigestMethod Algorithm="http://www.w3.org/2001/04/xmlenc#sha256"/>
      <DigestValue>9fQIts51Y87VEvH7BERJ1u4QwphX7Z5b7i0DBVapJ1k=</DigestValue>
    </Reference>
    <Reference Type="http://uri.etsi.org/01903#SignedProperties" URI="#idSignedProperties">
      <Transforms>
        <Transform Algorithm="http://www.w3.org/TR/2001/REC-xml-c14n-20010315"/>
      </Transforms>
      <DigestMethod Algorithm="http://www.w3.org/2001/04/xmlenc#sha256"/>
      <DigestValue>6hKETO/RFWN3lDbBnP5y9XJsD74Qfm3caLTue9P/H20=</DigestValue>
    </Reference>
  </SignedInfo>
  <SignatureValue>qZQksdUA+IMyZb+Mm6pv15DplaA594m+loohxXbIYIuylrwZb+8CqwXAhHnKGts6N2Wg/Hb8tjzX
QOMdm4FAHrZf7qQD302/F16wTLNB0nZF55LS7Ga90X3ZrJf3PdVEbrM6+2hJXKkZd3bgtWJ3Kj9p
mTFFEV/YG6sJN3ZfEi5ofGYYid/deBSOyBTRxaIfib0eb3n4bMlQzIDj7HiCZ0yu3s6lLMBdg9Pl
oSMSc22GuullVXxLBbekhYe09b9K2qvOl0L3ExRLXYyJ/dNqhRLhiEpjnfh7DIv5RtdJYguXFW+j
5oRj3CPFSqRrCRQuEoUcZuSX3sATGCYWulk6DA==</SignatureValue>
  <KeyInfo>
    <X509Data>
      <X509Certificate>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1/04/xmlenc#sha256"/>
        <DigestValue>jTWiL3tazeewTXgtzBRRnHVLEPoURbD1+UnmDBsZAxU=</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SGW+DE5w0PIXi0SnzjrnH41MzN2/MbsqFH3u4eoiS2A=</DigestValue>
      </Reference>
      <Reference URI="/word/charts/chart1.xml?ContentType=application/vnd.openxmlformats-officedocument.drawingml.chart+xml">
        <DigestMethod Algorithm="http://www.w3.org/2001/04/xmlenc#sha256"/>
        <DigestValue>SWd9xIElTklojyN4Vh6y6uKTRbnYzU2NbZ3YTQ+3wvs=</DigestValue>
      </Reference>
      <Reference URI="/word/charts/colors1.xml?ContentType=application/vnd.ms-office.chartcolorstyle+xml">
        <DigestMethod Algorithm="http://www.w3.org/2001/04/xmlenc#sha256"/>
        <DigestValue>BP77p9MYU/oKpjblyLjjCPwxJqm0ih9EkJR//5HVqS8=</DigestValue>
      </Reference>
      <Reference URI="/word/charts/style1.xml?ContentType=application/vnd.ms-office.chartstyle+xml">
        <DigestMethod Algorithm="http://www.w3.org/2001/04/xmlenc#sha256"/>
        <DigestValue>Go8wizBop+WptZQzECfR2CrVDYd8V2/X2MGuMtQ0TtE=</DigestValue>
      </Reference>
      <Reference URI="/word/document.xml?ContentType=application/vnd.openxmlformats-officedocument.wordprocessingml.document.main+xml">
        <DigestMethod Algorithm="http://www.w3.org/2001/04/xmlenc#sha256"/>
        <DigestValue>UzpYO3Q2heeffKN6t5W/RASfMTBecjSCX+Ajh+0Nye8=</DigestValue>
      </Reference>
      <Reference URI="/word/fontTable.xml?ContentType=application/vnd.openxmlformats-officedocument.wordprocessingml.fontTable+xml">
        <DigestMethod Algorithm="http://www.w3.org/2001/04/xmlenc#sha256"/>
        <DigestValue>oax+ifwsq8sVdmegrkXYfIyoW9vb4/VuIFVHPqlwf04=</DigestValue>
      </Reference>
      <Reference URI="/word/media/image1.png?ContentType=image/png">
        <DigestMethod Algorithm="http://www.w3.org/2001/04/xmlenc#sha256"/>
        <DigestValue>d6DUMChAtnHT7YB+7pGKOKAQQlWLDtie85PU8XwBp0M=</DigestValue>
      </Reference>
      <Reference URI="/word/numbering.xml?ContentType=application/vnd.openxmlformats-officedocument.wordprocessingml.numbering+xml">
        <DigestMethod Algorithm="http://www.w3.org/2001/04/xmlenc#sha256"/>
        <DigestValue>Qxkk2n4F3PBwHzf8WMmbu4aYyk5uJius7RYx7siIpcU=</DigestValue>
      </Reference>
      <Reference URI="/word/settings.xml?ContentType=application/vnd.openxmlformats-officedocument.wordprocessingml.settings+xml">
        <DigestMethod Algorithm="http://www.w3.org/2001/04/xmlenc#sha256"/>
        <DigestValue>6cyBK8f+lT0xuiEZ6zhSBn+BRSLXKENvMPjMlbt70zI=</DigestValue>
      </Reference>
      <Reference URI="/word/styles.xml?ContentType=application/vnd.openxmlformats-officedocument.wordprocessingml.styles+xml">
        <DigestMethod Algorithm="http://www.w3.org/2001/04/xmlenc#sha256"/>
        <DigestValue>Hu/xjIrL+JtW322LQMHTrs4cfVhpxcP+9KOpegAj02k=</DigestValue>
      </Reference>
      <Reference URI="/word/theme/theme1.xml?ContentType=application/vnd.openxmlformats-officedocument.theme+xml">
        <DigestMethod Algorithm="http://www.w3.org/2001/04/xmlenc#sha256"/>
        <DigestValue>cKcNhElHcsGFXsbC+aFuD8bMQb2wzjdDVj7ZQ7Y+B7g=</DigestValue>
      </Reference>
      <Reference URI="/word/webSettings.xml?ContentType=application/vnd.openxmlformats-officedocument.wordprocessingml.webSettings+xml">
        <DigestMethod Algorithm="http://www.w3.org/2001/04/xmlenc#sha256"/>
        <DigestValue>JYghH7kH1yPBtxjpDRffKvaLqAL7IIPw1oET9MUQYgY=</DigestValue>
      </Reference>
    </Manifest>
    <SignatureProperties>
      <SignatureProperty Id="idSignatureTime" Target="#idPackageSignature">
        <mdssi:SignatureTime xmlns:mdssi="http://schemas.openxmlformats.org/package/2006/digital-signature">
          <mdssi:Format>YYYY-MM-DDThh:mm:ssTZD</mdssi:Format>
          <mdssi:Value>2024-07-15T07:19:51Z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16.0.17726/26</OfficeVersion>
          <ApplicationVersion>16.0.17726</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2024-07-15T07:19:51Z</xd:SigningTime>
          <xd:SigningCertificate>
            <xd:Cert>
              <xd:CertDigest>
                <DigestMethod Algorithm="http://www.w3.org/2001/04/xmlenc#sha256"/>
                <DigestValue>Jd5rBbIIxeIm2YZe1x15uqJbIVcvYyPCnZZ+3UqlxXc=</DigestValue>
              </xd:CertDigest>
              <xd:IssuerSerial>
                <X509IssuerName>CN=VNPT-CA SHA-256, O=VIETNAM POSTS AND TELECOMMUNICATIONS GROUP, C=VN</X509IssuerName>
                <X509SerialNumber>111660364380712818154416431648068320510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13</Pages>
  <Words>3875</Words>
  <Characters>22091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48</cp:revision>
  <dcterms:created xsi:type="dcterms:W3CDTF">2023-04-13T06:51:00Z</dcterms:created>
  <dcterms:modified xsi:type="dcterms:W3CDTF">2024-07-12T10:46:00Z</dcterms:modified>
</cp:coreProperties>
</file>