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1114BB3"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D20DF1">
        <w:rPr>
          <w:rFonts w:ascii="Times New Roman" w:hAnsi="Times New Roman"/>
          <w:b/>
          <w:i/>
          <w:sz w:val="24"/>
          <w:szCs w:val="24"/>
          <w:lang w:val="nl-NL"/>
        </w:rPr>
        <w:t>I</w:t>
      </w:r>
      <w:r w:rsidR="0059531B">
        <w:rPr>
          <w:rFonts w:ascii="Times New Roman" w:hAnsi="Times New Roman"/>
          <w:b/>
          <w:i/>
          <w:sz w:val="24"/>
          <w:szCs w:val="24"/>
          <w:lang w:val="nl-NL"/>
        </w:rPr>
        <w:t>I</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E67E98">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C91CB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91CB1">
        <w:rPr>
          <w:rFonts w:ascii="Times New Roman" w:hAnsi="Times New Roman"/>
          <w:b/>
          <w:sz w:val="24"/>
          <w:szCs w:val="24"/>
          <w:lang w:val="nl-NL"/>
        </w:rPr>
        <w:t>1.</w:t>
      </w:r>
      <w:r w:rsidR="00A44447" w:rsidRPr="00C91CB1">
        <w:rPr>
          <w:rFonts w:ascii="Times New Roman" w:hAnsi="Times New Roman"/>
          <w:b/>
          <w:sz w:val="24"/>
          <w:szCs w:val="24"/>
          <w:lang w:val="nl-NL"/>
        </w:rPr>
        <w:t>1.</w:t>
      </w:r>
      <w:r w:rsidRPr="00C91CB1">
        <w:rPr>
          <w:rFonts w:ascii="Times New Roman" w:hAnsi="Times New Roman"/>
          <w:b/>
          <w:sz w:val="24"/>
          <w:szCs w:val="24"/>
          <w:lang w:val="nl-NL"/>
        </w:rPr>
        <w:t xml:space="preserve"> Mục tiêu của Quỹ:</w:t>
      </w:r>
    </w:p>
    <w:p w14:paraId="1EDD510C" w14:textId="77777777" w:rsidR="00A44447" w:rsidRPr="00C91CB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C91CB1">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C91CB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91CB1">
        <w:rPr>
          <w:rFonts w:ascii="Times New Roman" w:hAnsi="Times New Roman"/>
          <w:b/>
          <w:sz w:val="24"/>
          <w:szCs w:val="24"/>
          <w:lang w:val="nl-NL"/>
        </w:rPr>
        <w:t>1.</w:t>
      </w:r>
      <w:r w:rsidR="00BE6F63" w:rsidRPr="00C91CB1">
        <w:rPr>
          <w:rFonts w:ascii="Times New Roman" w:hAnsi="Times New Roman"/>
          <w:b/>
          <w:sz w:val="24"/>
          <w:szCs w:val="24"/>
          <w:lang w:val="nl-NL"/>
        </w:rPr>
        <w:t>2. Hiệu quả hoạt động của Quỹ:</w:t>
      </w:r>
    </w:p>
    <w:p w14:paraId="0E1F1D42" w14:textId="543445FE" w:rsidR="0095587A" w:rsidRPr="00C91CB1"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C91CB1">
        <w:rPr>
          <w:rFonts w:ascii="Times New Roman" w:hAnsi="Times New Roman"/>
          <w:sz w:val="24"/>
          <w:szCs w:val="24"/>
          <w:lang w:val="nl-NL"/>
        </w:rPr>
        <w:t xml:space="preserve">Tính đến cuối kỳ báo cáo, thay đổi giá trị tài sản ròng (NAV) của Quỹ là </w:t>
      </w:r>
      <w:r w:rsidR="007F2DCF" w:rsidRPr="00C91CB1">
        <w:rPr>
          <w:rFonts w:ascii="Times New Roman" w:hAnsi="Times New Roman"/>
          <w:sz w:val="24"/>
          <w:szCs w:val="24"/>
          <w:lang w:val="nl-NL"/>
        </w:rPr>
        <w:t>6,11</w:t>
      </w:r>
      <w:r w:rsidR="001048A2" w:rsidRPr="00C91CB1">
        <w:rPr>
          <w:rFonts w:ascii="Times New Roman" w:hAnsi="Times New Roman"/>
          <w:sz w:val="24"/>
          <w:szCs w:val="24"/>
          <w:lang w:val="nl-NL"/>
        </w:rPr>
        <w:t xml:space="preserve">% </w:t>
      </w:r>
      <w:r w:rsidRPr="00C91CB1">
        <w:rPr>
          <w:rFonts w:ascii="Times New Roman" w:hAnsi="Times New Roman"/>
          <w:sz w:val="24"/>
          <w:szCs w:val="24"/>
          <w:lang w:val="nl-NL"/>
        </w:rPr>
        <w:t>so với giá trị tài sản ròng của quỹ đầu kỳ báo cáo.</w:t>
      </w:r>
    </w:p>
    <w:p w14:paraId="0CB40711" w14:textId="655F2519" w:rsidR="00BE6F63" w:rsidRPr="00C91CB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91CB1">
        <w:rPr>
          <w:rFonts w:ascii="Times New Roman" w:hAnsi="Times New Roman"/>
          <w:b/>
          <w:sz w:val="24"/>
          <w:szCs w:val="24"/>
          <w:lang w:val="nl-NL"/>
        </w:rPr>
        <w:t>1.</w:t>
      </w:r>
      <w:r w:rsidR="00BE6F63" w:rsidRPr="00C91CB1">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91CB1">
        <w:rPr>
          <w:rFonts w:ascii="Times New Roman" w:hAnsi="Times New Roman"/>
          <w:b/>
          <w:sz w:val="24"/>
          <w:szCs w:val="24"/>
          <w:lang w:val="nl-NL"/>
        </w:rPr>
        <w:t>1.</w:t>
      </w:r>
      <w:r w:rsidR="00BE6F63" w:rsidRPr="00C91CB1">
        <w:rPr>
          <w:rFonts w:ascii="Times New Roman" w:hAnsi="Times New Roman"/>
          <w:b/>
          <w:sz w:val="24"/>
          <w:szCs w:val="24"/>
          <w:lang w:val="nl-NL"/>
        </w:rPr>
        <w:t>6. Mức độ rủi ro ngắn hạn</w:t>
      </w:r>
      <w:r w:rsidR="00EC15EC" w:rsidRPr="00C91CB1">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C91CB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C91CB1">
        <w:rPr>
          <w:rFonts w:ascii="Times New Roman" w:hAnsi="Times New Roman"/>
          <w:b/>
          <w:sz w:val="24"/>
          <w:szCs w:val="24"/>
          <w:lang w:val="nl-NL"/>
        </w:rPr>
        <w:lastRenderedPageBreak/>
        <w:t>1.</w:t>
      </w:r>
      <w:r w:rsidR="00BE6F63" w:rsidRPr="00C91CB1">
        <w:rPr>
          <w:rFonts w:ascii="Times New Roman" w:hAnsi="Times New Roman"/>
          <w:b/>
          <w:sz w:val="24"/>
          <w:szCs w:val="24"/>
          <w:lang w:val="nl-NL"/>
        </w:rPr>
        <w:t>8. Quy mô Quỹ tại thời điểm báo cáo</w:t>
      </w:r>
    </w:p>
    <w:p w14:paraId="0231C78E" w14:textId="41B97C4B" w:rsidR="00A44447" w:rsidRPr="00C91CB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C91CB1">
        <w:rPr>
          <w:rFonts w:ascii="Times New Roman" w:hAnsi="Times New Roman"/>
          <w:sz w:val="24"/>
          <w:szCs w:val="24"/>
          <w:lang w:val="nl-NL"/>
        </w:rPr>
        <w:t>Tại ngày 3</w:t>
      </w:r>
      <w:r w:rsidR="00D20DF1" w:rsidRPr="00C91CB1">
        <w:rPr>
          <w:rFonts w:ascii="Times New Roman" w:hAnsi="Times New Roman"/>
          <w:sz w:val="24"/>
          <w:szCs w:val="24"/>
          <w:lang w:val="nl-NL"/>
        </w:rPr>
        <w:t>0</w:t>
      </w:r>
      <w:r w:rsidRPr="00C91CB1">
        <w:rPr>
          <w:rFonts w:ascii="Times New Roman" w:hAnsi="Times New Roman"/>
          <w:sz w:val="24"/>
          <w:szCs w:val="24"/>
          <w:lang w:val="nl-NL"/>
        </w:rPr>
        <w:t xml:space="preserve"> tháng </w:t>
      </w:r>
      <w:r w:rsidR="00E67E98" w:rsidRPr="00C91CB1">
        <w:rPr>
          <w:rFonts w:ascii="Times New Roman" w:hAnsi="Times New Roman"/>
          <w:sz w:val="24"/>
          <w:szCs w:val="24"/>
          <w:lang w:val="nl-NL"/>
        </w:rPr>
        <w:t>0</w:t>
      </w:r>
      <w:r w:rsidR="0059531B" w:rsidRPr="00C91CB1">
        <w:rPr>
          <w:rFonts w:ascii="Times New Roman" w:hAnsi="Times New Roman"/>
          <w:sz w:val="24"/>
          <w:szCs w:val="24"/>
          <w:lang w:val="nl-NL"/>
        </w:rPr>
        <w:t>9</w:t>
      </w:r>
      <w:r w:rsidRPr="00C91CB1">
        <w:rPr>
          <w:rFonts w:ascii="Times New Roman" w:hAnsi="Times New Roman"/>
          <w:sz w:val="24"/>
          <w:szCs w:val="24"/>
          <w:lang w:val="nl-NL"/>
        </w:rPr>
        <w:t xml:space="preserve"> năm 202</w:t>
      </w:r>
      <w:r w:rsidR="00E67E98" w:rsidRPr="00C91CB1">
        <w:rPr>
          <w:rFonts w:ascii="Times New Roman" w:hAnsi="Times New Roman"/>
          <w:sz w:val="24"/>
          <w:szCs w:val="24"/>
          <w:lang w:val="nl-NL"/>
        </w:rPr>
        <w:t>3</w:t>
      </w:r>
      <w:r w:rsidRPr="00C91CB1">
        <w:rPr>
          <w:rFonts w:ascii="Times New Roman" w:hAnsi="Times New Roman"/>
          <w:sz w:val="24"/>
          <w:szCs w:val="24"/>
          <w:lang w:val="nl-NL"/>
        </w:rPr>
        <w:t xml:space="preserve">, số lượng Chứng chỉ quỹ (“CCQ”) đang lưu hành của Quỹ là </w:t>
      </w:r>
      <w:r w:rsidR="0095587A" w:rsidRPr="00C91CB1">
        <w:rPr>
          <w:rFonts w:ascii="Times New Roman" w:hAnsi="Times New Roman"/>
          <w:sz w:val="24"/>
          <w:szCs w:val="24"/>
          <w:lang w:val="nl-NL"/>
        </w:rPr>
        <w:t xml:space="preserve"> </w:t>
      </w:r>
      <w:r w:rsidR="007F2DCF" w:rsidRPr="00C91CB1">
        <w:rPr>
          <w:rFonts w:ascii="Times New Roman" w:hAnsi="Times New Roman"/>
          <w:sz w:val="24"/>
          <w:szCs w:val="24"/>
          <w:lang w:val="nl-NL"/>
        </w:rPr>
        <w:t xml:space="preserve">11.185.278,15 </w:t>
      </w:r>
      <w:r w:rsidRPr="00C91CB1">
        <w:rPr>
          <w:rFonts w:ascii="Times New Roman" w:hAnsi="Times New Roman"/>
          <w:sz w:val="24"/>
          <w:szCs w:val="24"/>
          <w:lang w:val="nl-NL"/>
        </w:rPr>
        <w:t>CCQ, tương đương với quy mô vốn của Quỹ theo mệnh giá là</w:t>
      </w:r>
      <w:r w:rsidR="001048A2" w:rsidRPr="00C91CB1">
        <w:rPr>
          <w:rFonts w:ascii="Times New Roman" w:hAnsi="Times New Roman"/>
          <w:sz w:val="24"/>
          <w:szCs w:val="24"/>
          <w:lang w:val="nl-NL"/>
        </w:rPr>
        <w:t xml:space="preserve"> </w:t>
      </w:r>
      <w:r w:rsidR="007F2DCF" w:rsidRPr="00C91CB1">
        <w:rPr>
          <w:rFonts w:ascii="Times New Roman" w:hAnsi="Times New Roman"/>
          <w:sz w:val="24"/>
          <w:szCs w:val="24"/>
          <w:lang w:val="nl-NL"/>
        </w:rPr>
        <w:t xml:space="preserve">111.852.781.500 </w:t>
      </w:r>
      <w:r w:rsidRPr="00C91CB1">
        <w:rPr>
          <w:rFonts w:ascii="Times New Roman" w:hAnsi="Times New Roman"/>
          <w:sz w:val="24"/>
          <w:szCs w:val="24"/>
          <w:lang w:val="nl-NL"/>
        </w:rPr>
        <w:t>VND.</w:t>
      </w:r>
    </w:p>
    <w:p w14:paraId="217E359E" w14:textId="18F4CB8E" w:rsidR="00BE6F63" w:rsidRPr="00C91CB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91CB1">
        <w:rPr>
          <w:rFonts w:ascii="Times New Roman" w:hAnsi="Times New Roman"/>
          <w:b/>
          <w:sz w:val="24"/>
          <w:szCs w:val="24"/>
          <w:lang w:val="nl-NL"/>
        </w:rPr>
        <w:t>1.</w:t>
      </w:r>
      <w:r w:rsidR="00BE6F63" w:rsidRPr="00C91CB1">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C91CB1">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C91CB1">
        <w:rPr>
          <w:rFonts w:ascii="Times New Roman" w:hAnsi="Times New Roman"/>
          <w:b/>
          <w:sz w:val="24"/>
          <w:szCs w:val="24"/>
          <w:lang w:val="nl-NL"/>
        </w:rPr>
        <w:t>2.</w:t>
      </w:r>
      <w:r w:rsidR="00315A8E" w:rsidRPr="00C91CB1">
        <w:rPr>
          <w:rFonts w:ascii="Times New Roman" w:hAnsi="Times New Roman"/>
          <w:b/>
          <w:sz w:val="24"/>
          <w:szCs w:val="24"/>
          <w:lang w:val="nl-NL"/>
        </w:rPr>
        <w:t xml:space="preserve">1. </w:t>
      </w:r>
      <w:r w:rsidR="00BE6F63" w:rsidRPr="00C91CB1">
        <w:rPr>
          <w:rFonts w:ascii="Times New Roman" w:hAnsi="Times New Roman"/>
          <w:b/>
          <w:sz w:val="24"/>
          <w:szCs w:val="24"/>
          <w:lang w:val="nl-NL"/>
        </w:rPr>
        <w:t>Cơ cấu tài sản quỹ</w:t>
      </w:r>
      <w:r w:rsidR="00147E0F" w:rsidRPr="00C91CB1">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67"/>
        <w:gridCol w:w="1800"/>
        <w:gridCol w:w="1800"/>
        <w:gridCol w:w="1800"/>
      </w:tblGrid>
      <w:tr w:rsidR="00756A76" w:rsidRPr="004647B9" w14:paraId="3587C0D2" w14:textId="77777777" w:rsidTr="00FE2BC9">
        <w:tc>
          <w:tcPr>
            <w:tcW w:w="2086"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4C867076"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D20DF1">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E67E98">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3</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662B6CB7" w:rsidR="00BE6F63" w:rsidRPr="004647B9" w:rsidRDefault="00D20DF1"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0600E0"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2</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34B93B09" w14:textId="4EC14C26" w:rsidR="00BE6F63" w:rsidRPr="004647B9" w:rsidRDefault="00D20DF1"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0600E0"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1</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FE2BC9" w:rsidRPr="004647B9" w14:paraId="24D2596E" w14:textId="77777777" w:rsidTr="00FE2BC9">
        <w:tc>
          <w:tcPr>
            <w:tcW w:w="2086" w:type="pct"/>
            <w:shd w:val="clear" w:color="auto" w:fill="auto"/>
            <w:vAlign w:val="center"/>
          </w:tcPr>
          <w:p w14:paraId="33FCFD60" w14:textId="6918A882" w:rsidR="00FE2BC9" w:rsidRPr="004647B9" w:rsidRDefault="00FE2BC9" w:rsidP="00FE2BC9">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229AEF17"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86,71</w:t>
            </w:r>
          </w:p>
        </w:tc>
        <w:tc>
          <w:tcPr>
            <w:tcW w:w="971" w:type="pct"/>
            <w:shd w:val="clear" w:color="auto" w:fill="auto"/>
          </w:tcPr>
          <w:p w14:paraId="57589212" w14:textId="6A8D8E86"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84,82</w:t>
            </w:r>
          </w:p>
        </w:tc>
        <w:tc>
          <w:tcPr>
            <w:tcW w:w="971" w:type="pct"/>
            <w:shd w:val="clear" w:color="auto" w:fill="auto"/>
          </w:tcPr>
          <w:p w14:paraId="7BE89613" w14:textId="479694A9"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89,65</w:t>
            </w:r>
          </w:p>
        </w:tc>
      </w:tr>
      <w:tr w:rsidR="00FE2BC9" w:rsidRPr="004647B9" w14:paraId="4D0C35D7" w14:textId="77777777" w:rsidTr="00FE2BC9">
        <w:tc>
          <w:tcPr>
            <w:tcW w:w="2086" w:type="pct"/>
            <w:shd w:val="clear" w:color="auto" w:fill="auto"/>
            <w:vAlign w:val="center"/>
          </w:tcPr>
          <w:p w14:paraId="34BD949F" w14:textId="459905D2" w:rsidR="00FE2BC9" w:rsidRPr="004647B9" w:rsidRDefault="00FE2BC9" w:rsidP="00FE2BC9">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12A655BD"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12,95</w:t>
            </w:r>
          </w:p>
        </w:tc>
        <w:tc>
          <w:tcPr>
            <w:tcW w:w="971" w:type="pct"/>
            <w:shd w:val="clear" w:color="auto" w:fill="auto"/>
          </w:tcPr>
          <w:p w14:paraId="34619132" w14:textId="53A1A689"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12,40</w:t>
            </w:r>
          </w:p>
        </w:tc>
        <w:tc>
          <w:tcPr>
            <w:tcW w:w="971" w:type="pct"/>
            <w:shd w:val="clear" w:color="auto" w:fill="auto"/>
          </w:tcPr>
          <w:p w14:paraId="1E0BFD96" w14:textId="76D1F653"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9,76</w:t>
            </w:r>
          </w:p>
        </w:tc>
      </w:tr>
      <w:tr w:rsidR="00FE2BC9" w:rsidRPr="004647B9" w14:paraId="2B8F060E" w14:textId="77777777" w:rsidTr="00FE2BC9">
        <w:tc>
          <w:tcPr>
            <w:tcW w:w="2086" w:type="pct"/>
            <w:shd w:val="clear" w:color="auto" w:fill="auto"/>
            <w:vAlign w:val="center"/>
          </w:tcPr>
          <w:p w14:paraId="687A447B" w14:textId="56D5388C" w:rsidR="00FE2BC9" w:rsidRPr="004647B9" w:rsidRDefault="00FE2BC9" w:rsidP="00FE2BC9">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1233DC0D"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0,34</w:t>
            </w:r>
          </w:p>
        </w:tc>
        <w:tc>
          <w:tcPr>
            <w:tcW w:w="971" w:type="pct"/>
            <w:shd w:val="clear" w:color="auto" w:fill="auto"/>
          </w:tcPr>
          <w:p w14:paraId="269481FC" w14:textId="7B7EB945"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2,78</w:t>
            </w:r>
          </w:p>
        </w:tc>
        <w:tc>
          <w:tcPr>
            <w:tcW w:w="971" w:type="pct"/>
            <w:shd w:val="clear" w:color="auto" w:fill="auto"/>
          </w:tcPr>
          <w:p w14:paraId="2A4B7332" w14:textId="6FE3D3AC" w:rsidR="00FE2BC9" w:rsidRPr="00C32781"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0,59</w:t>
            </w:r>
          </w:p>
        </w:tc>
      </w:tr>
      <w:tr w:rsidR="00756A76" w:rsidRPr="004647B9" w14:paraId="72495D15" w14:textId="77777777" w:rsidTr="00FE2BC9">
        <w:tc>
          <w:tcPr>
            <w:tcW w:w="2086"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5C84D61"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4FC04B19" w14:textId="2431C74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1F0DDFA4" w14:textId="1E924D6E"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866"/>
        <w:gridCol w:w="1802"/>
        <w:gridCol w:w="1802"/>
        <w:gridCol w:w="1884"/>
      </w:tblGrid>
      <w:tr w:rsidR="00E67E98" w:rsidRPr="00A90AB7" w14:paraId="21034AD9" w14:textId="77777777" w:rsidTr="00FE2BC9">
        <w:tc>
          <w:tcPr>
            <w:tcW w:w="2066" w:type="pct"/>
            <w:shd w:val="clear" w:color="auto" w:fill="auto"/>
            <w:vAlign w:val="center"/>
          </w:tcPr>
          <w:p w14:paraId="1D5B1819" w14:textId="77777777" w:rsidR="00E67E98" w:rsidRPr="004647B9" w:rsidRDefault="00E67E98" w:rsidP="00E67E98">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3" w:type="pct"/>
            <w:shd w:val="clear" w:color="auto" w:fill="auto"/>
            <w:vAlign w:val="center"/>
          </w:tcPr>
          <w:p w14:paraId="4AB83160" w14:textId="3087920C"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E67E98" w:rsidRPr="004647B9">
              <w:rPr>
                <w:rFonts w:ascii="Times New Roman" w:eastAsia="Times New Roman" w:hAnsi="Times New Roman"/>
                <w:b/>
                <w:sz w:val="24"/>
                <w:szCs w:val="24"/>
                <w:lang w:val="nl-NL"/>
              </w:rPr>
              <w:t>/202</w:t>
            </w:r>
            <w:r w:rsidR="00E67E98">
              <w:rPr>
                <w:rFonts w:ascii="Times New Roman" w:eastAsia="Times New Roman" w:hAnsi="Times New Roman"/>
                <w:b/>
                <w:sz w:val="24"/>
                <w:szCs w:val="24"/>
                <w:lang w:val="nl-NL"/>
              </w:rPr>
              <w:t>3</w:t>
            </w:r>
          </w:p>
        </w:tc>
        <w:tc>
          <w:tcPr>
            <w:tcW w:w="963" w:type="pct"/>
            <w:shd w:val="clear" w:color="auto" w:fill="auto"/>
            <w:vAlign w:val="center"/>
          </w:tcPr>
          <w:p w14:paraId="174B15DB" w14:textId="3B07290C"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22</w:t>
            </w:r>
          </w:p>
        </w:tc>
        <w:tc>
          <w:tcPr>
            <w:tcW w:w="1007" w:type="pct"/>
            <w:shd w:val="clear" w:color="auto" w:fill="auto"/>
            <w:vAlign w:val="center"/>
          </w:tcPr>
          <w:p w14:paraId="36922E34" w14:textId="5134A022"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21</w:t>
            </w:r>
          </w:p>
        </w:tc>
      </w:tr>
      <w:tr w:rsidR="00FE2BC9" w:rsidRPr="00A90AB7" w14:paraId="1582E00A" w14:textId="77777777" w:rsidTr="00FE2BC9">
        <w:trPr>
          <w:trHeight w:val="648"/>
        </w:trPr>
        <w:tc>
          <w:tcPr>
            <w:tcW w:w="2066" w:type="pct"/>
            <w:shd w:val="clear" w:color="auto" w:fill="auto"/>
            <w:vAlign w:val="center"/>
          </w:tcPr>
          <w:p w14:paraId="165B2506" w14:textId="0ACE3575"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63" w:type="pct"/>
            <w:shd w:val="clear" w:color="auto" w:fill="auto"/>
          </w:tcPr>
          <w:p w14:paraId="41A827E1" w14:textId="4CCA9474"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157</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232</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849</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507 </w:t>
            </w:r>
          </w:p>
        </w:tc>
        <w:tc>
          <w:tcPr>
            <w:tcW w:w="963" w:type="pct"/>
            <w:shd w:val="clear" w:color="auto" w:fill="auto"/>
          </w:tcPr>
          <w:p w14:paraId="6B0EAE44" w14:textId="126443BD" w:rsidR="00FE2BC9" w:rsidRPr="003E0EF5" w:rsidRDefault="00FE2BC9" w:rsidP="00FE2BC9">
            <w:pPr>
              <w:tabs>
                <w:tab w:val="left" w:pos="540"/>
              </w:tabs>
              <w:spacing w:before="120" w:after="120" w:line="240" w:lineRule="auto"/>
              <w:ind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137</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898</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272</w:t>
            </w:r>
          </w:p>
        </w:tc>
        <w:tc>
          <w:tcPr>
            <w:tcW w:w="1007" w:type="pct"/>
            <w:shd w:val="clear" w:color="auto" w:fill="auto"/>
          </w:tcPr>
          <w:p w14:paraId="2D404424" w14:textId="0ACF050E"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140</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999</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663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807</w:t>
            </w:r>
          </w:p>
        </w:tc>
      </w:tr>
      <w:tr w:rsidR="00FE2BC9" w:rsidRPr="00A90AB7" w14:paraId="740B9023" w14:textId="77777777" w:rsidTr="00FE2BC9">
        <w:trPr>
          <w:trHeight w:val="666"/>
        </w:trPr>
        <w:tc>
          <w:tcPr>
            <w:tcW w:w="2066" w:type="pct"/>
            <w:shd w:val="clear" w:color="auto" w:fill="auto"/>
            <w:vAlign w:val="center"/>
          </w:tcPr>
          <w:p w14:paraId="58D993A2" w14:textId="38821DA1"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63" w:type="pct"/>
            <w:shd w:val="clear" w:color="auto" w:fill="auto"/>
          </w:tcPr>
          <w:p w14:paraId="2E0189F1" w14:textId="5B057636"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185</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278</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15   </w:t>
            </w:r>
          </w:p>
        </w:tc>
        <w:tc>
          <w:tcPr>
            <w:tcW w:w="963" w:type="pct"/>
            <w:shd w:val="clear" w:color="auto" w:fill="auto"/>
          </w:tcPr>
          <w:p w14:paraId="0C159F19" w14:textId="757DA64E"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471</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473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60   </w:t>
            </w:r>
          </w:p>
        </w:tc>
        <w:tc>
          <w:tcPr>
            <w:tcW w:w="1007" w:type="pct"/>
            <w:shd w:val="clear" w:color="auto" w:fill="auto"/>
          </w:tcPr>
          <w:p w14:paraId="34852C91" w14:textId="4B14ED79"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9</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092</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256</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50   </w:t>
            </w:r>
          </w:p>
        </w:tc>
      </w:tr>
      <w:tr w:rsidR="00FE2BC9" w:rsidRPr="00A90AB7" w14:paraId="0F7D1AC6" w14:textId="77777777" w:rsidTr="00FE2BC9">
        <w:tc>
          <w:tcPr>
            <w:tcW w:w="2066" w:type="pct"/>
            <w:shd w:val="clear" w:color="auto" w:fill="auto"/>
            <w:vAlign w:val="center"/>
          </w:tcPr>
          <w:p w14:paraId="7AA58A45" w14:textId="038C9255"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63" w:type="pct"/>
            <w:shd w:val="clear" w:color="auto" w:fill="auto"/>
          </w:tcPr>
          <w:p w14:paraId="3BB66723" w14:textId="1E199CFD"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057</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12   </w:t>
            </w:r>
          </w:p>
        </w:tc>
        <w:tc>
          <w:tcPr>
            <w:tcW w:w="963" w:type="pct"/>
            <w:shd w:val="clear" w:color="auto" w:fill="auto"/>
          </w:tcPr>
          <w:p w14:paraId="5F9F7D1C" w14:textId="0A96D883"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95   </w:t>
            </w:r>
          </w:p>
        </w:tc>
        <w:tc>
          <w:tcPr>
            <w:tcW w:w="1007" w:type="pct"/>
            <w:shd w:val="clear" w:color="auto" w:fill="auto"/>
          </w:tcPr>
          <w:p w14:paraId="048F7B62" w14:textId="37218A98"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507</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66   </w:t>
            </w:r>
          </w:p>
        </w:tc>
      </w:tr>
      <w:tr w:rsidR="00FE2BC9" w:rsidRPr="00A90AB7" w14:paraId="395AB2AB" w14:textId="77777777" w:rsidTr="00FE2BC9">
        <w:tc>
          <w:tcPr>
            <w:tcW w:w="2066" w:type="pct"/>
            <w:shd w:val="clear" w:color="auto" w:fill="auto"/>
            <w:vAlign w:val="center"/>
          </w:tcPr>
          <w:p w14:paraId="4D78CBEF" w14:textId="387FCDF9"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63" w:type="pct"/>
            <w:shd w:val="clear" w:color="auto" w:fill="auto"/>
          </w:tcPr>
          <w:p w14:paraId="2E347DE5" w14:textId="65A21BEC"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664</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51   </w:t>
            </w:r>
          </w:p>
        </w:tc>
        <w:tc>
          <w:tcPr>
            <w:tcW w:w="963" w:type="pct"/>
            <w:shd w:val="clear" w:color="auto" w:fill="auto"/>
          </w:tcPr>
          <w:p w14:paraId="2ECE8D83" w14:textId="5429638D"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814</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45   </w:t>
            </w:r>
          </w:p>
        </w:tc>
        <w:tc>
          <w:tcPr>
            <w:tcW w:w="1007" w:type="pct"/>
            <w:shd w:val="clear" w:color="auto" w:fill="auto"/>
          </w:tcPr>
          <w:p w14:paraId="4517B3D4" w14:textId="3FC024E2"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283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77   </w:t>
            </w:r>
          </w:p>
        </w:tc>
      </w:tr>
      <w:tr w:rsidR="00FE2BC9" w:rsidRPr="00A90AB7" w14:paraId="3A3FE5B3" w14:textId="77777777" w:rsidTr="00FE2BC9">
        <w:tc>
          <w:tcPr>
            <w:tcW w:w="2066" w:type="pct"/>
            <w:shd w:val="clear" w:color="auto" w:fill="auto"/>
            <w:vAlign w:val="center"/>
          </w:tcPr>
          <w:p w14:paraId="67851E1D" w14:textId="18442C06"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63" w:type="pct"/>
            <w:shd w:val="clear" w:color="auto" w:fill="auto"/>
          </w:tcPr>
          <w:p w14:paraId="78E13020" w14:textId="44DA621C"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368</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95   </w:t>
            </w:r>
          </w:p>
        </w:tc>
        <w:tc>
          <w:tcPr>
            <w:tcW w:w="963" w:type="pct"/>
            <w:shd w:val="clear" w:color="auto" w:fill="auto"/>
          </w:tcPr>
          <w:p w14:paraId="7200238C" w14:textId="126E0240"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95   </w:t>
            </w:r>
          </w:p>
        </w:tc>
        <w:tc>
          <w:tcPr>
            <w:tcW w:w="1007" w:type="pct"/>
            <w:shd w:val="clear" w:color="auto" w:fill="auto"/>
          </w:tcPr>
          <w:p w14:paraId="0A60AFAB" w14:textId="2AEB6293" w:rsidR="00FE2BC9" w:rsidRPr="003E0EF5"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479</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 xml:space="preserve">49   </w:t>
            </w:r>
          </w:p>
        </w:tc>
      </w:tr>
      <w:tr w:rsidR="00FB29CA" w:rsidRPr="00A90AB7" w14:paraId="680FA9D8" w14:textId="77777777" w:rsidTr="00FE2BC9">
        <w:tc>
          <w:tcPr>
            <w:tcW w:w="2066"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6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63"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7"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FE2BC9">
        <w:tc>
          <w:tcPr>
            <w:tcW w:w="2066"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6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FE2BC9">
        <w:tc>
          <w:tcPr>
            <w:tcW w:w="2066"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6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E2BC9" w:rsidRPr="00A90AB7" w14:paraId="3D43ACEE" w14:textId="77777777" w:rsidTr="00FE2BC9">
        <w:tc>
          <w:tcPr>
            <w:tcW w:w="2066" w:type="pct"/>
            <w:shd w:val="clear" w:color="auto" w:fill="auto"/>
            <w:vAlign w:val="center"/>
          </w:tcPr>
          <w:p w14:paraId="1916F095" w14:textId="30B7C9BD"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63" w:type="pct"/>
            <w:shd w:val="clear" w:color="auto" w:fill="auto"/>
          </w:tcPr>
          <w:p w14:paraId="20184A90" w14:textId="5103A470"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5</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57</w:t>
            </w:r>
          </w:p>
        </w:tc>
        <w:tc>
          <w:tcPr>
            <w:tcW w:w="963" w:type="pct"/>
            <w:shd w:val="clear" w:color="auto" w:fill="auto"/>
          </w:tcPr>
          <w:p w14:paraId="5EF14642" w14:textId="03BE00C3"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-4</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96</w:t>
            </w:r>
          </w:p>
        </w:tc>
        <w:tc>
          <w:tcPr>
            <w:tcW w:w="1007" w:type="pct"/>
            <w:shd w:val="clear" w:color="auto" w:fill="auto"/>
          </w:tcPr>
          <w:p w14:paraId="69214AE9" w14:textId="66E8E3D9"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-4</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26</w:t>
            </w:r>
          </w:p>
        </w:tc>
      </w:tr>
      <w:tr w:rsidR="001046F6" w:rsidRPr="00A90AB7" w14:paraId="39E29FC2" w14:textId="77777777" w:rsidTr="00FE2BC9">
        <w:tc>
          <w:tcPr>
            <w:tcW w:w="2066"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6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FE2BC9">
        <w:tc>
          <w:tcPr>
            <w:tcW w:w="2066"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6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FE2BC9">
        <w:tc>
          <w:tcPr>
            <w:tcW w:w="2066"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6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FE2BC9">
        <w:tc>
          <w:tcPr>
            <w:tcW w:w="2066"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6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FE2BC9">
        <w:tc>
          <w:tcPr>
            <w:tcW w:w="2066"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 xml:space="preserve">12.Ngày chốt quyền </w:t>
            </w:r>
          </w:p>
        </w:tc>
        <w:tc>
          <w:tcPr>
            <w:tcW w:w="96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E2BC9" w:rsidRPr="00A90AB7" w14:paraId="59EE0EC7" w14:textId="77777777" w:rsidTr="00394752">
        <w:tc>
          <w:tcPr>
            <w:tcW w:w="2066" w:type="pct"/>
            <w:shd w:val="clear" w:color="auto" w:fill="auto"/>
            <w:vAlign w:val="center"/>
          </w:tcPr>
          <w:p w14:paraId="5D620D01" w14:textId="1DFC1578"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63" w:type="pct"/>
            <w:shd w:val="clear" w:color="auto" w:fill="auto"/>
          </w:tcPr>
          <w:p w14:paraId="1599D8AD" w14:textId="72FEFD3B" w:rsidR="00FE2BC9" w:rsidRPr="001321D1"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76</w:t>
            </w:r>
          </w:p>
        </w:tc>
        <w:tc>
          <w:tcPr>
            <w:tcW w:w="963" w:type="pct"/>
            <w:shd w:val="clear" w:color="auto" w:fill="auto"/>
          </w:tcPr>
          <w:p w14:paraId="4A1A1B3F" w14:textId="1614E966"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64</w:t>
            </w:r>
          </w:p>
        </w:tc>
        <w:tc>
          <w:tcPr>
            <w:tcW w:w="1007" w:type="pct"/>
            <w:shd w:val="clear" w:color="auto" w:fill="auto"/>
          </w:tcPr>
          <w:p w14:paraId="669414C7" w14:textId="3B4AA9EC"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23</w:t>
            </w:r>
          </w:p>
        </w:tc>
      </w:tr>
      <w:tr w:rsidR="00FE2BC9" w:rsidRPr="00A90AB7" w14:paraId="5F792137" w14:textId="77777777" w:rsidTr="00394752">
        <w:tc>
          <w:tcPr>
            <w:tcW w:w="2066" w:type="pct"/>
            <w:shd w:val="clear" w:color="auto" w:fill="auto"/>
            <w:vAlign w:val="center"/>
          </w:tcPr>
          <w:p w14:paraId="1CB9C522" w14:textId="593FBECC" w:rsidR="00FE2BC9" w:rsidRPr="00A90AB7"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63" w:type="pct"/>
            <w:shd w:val="clear" w:color="auto" w:fill="auto"/>
          </w:tcPr>
          <w:p w14:paraId="1DCC5EDA" w14:textId="3B45C642" w:rsidR="00FE2BC9" w:rsidRPr="001321D1"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230</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90</w:t>
            </w:r>
          </w:p>
        </w:tc>
        <w:tc>
          <w:tcPr>
            <w:tcW w:w="963" w:type="pct"/>
            <w:shd w:val="clear" w:color="auto" w:fill="auto"/>
          </w:tcPr>
          <w:p w14:paraId="445F9F32" w14:textId="7ED39555"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152</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93</w:t>
            </w:r>
          </w:p>
        </w:tc>
        <w:tc>
          <w:tcPr>
            <w:tcW w:w="1007" w:type="pct"/>
            <w:shd w:val="clear" w:color="auto" w:fill="auto"/>
          </w:tcPr>
          <w:p w14:paraId="236B1E60" w14:textId="3A65A198" w:rsidR="00FE2BC9" w:rsidRPr="00B55789" w:rsidRDefault="00FE2BC9" w:rsidP="00FE2BC9">
            <w:pPr>
              <w:tabs>
                <w:tab w:val="left" w:pos="540"/>
              </w:tabs>
              <w:spacing w:before="120" w:after="120" w:line="240" w:lineRule="auto"/>
              <w:ind w:left="57" w:right="57"/>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309</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84</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FE2BC9" w:rsidRPr="001330FC" w14:paraId="5EEB48C6" w14:textId="77777777" w:rsidTr="00617039">
        <w:tc>
          <w:tcPr>
            <w:tcW w:w="2115" w:type="pct"/>
            <w:shd w:val="clear" w:color="auto" w:fill="auto"/>
            <w:vAlign w:val="center"/>
          </w:tcPr>
          <w:p w14:paraId="5DDCFCF4" w14:textId="77777777" w:rsidR="00FE2BC9" w:rsidRPr="001330FC" w:rsidRDefault="00FE2BC9" w:rsidP="00FE2BC9">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5345B3C8" w:rsidR="00FE2BC9" w:rsidRPr="003E0EF5"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6</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74</w:t>
            </w:r>
          </w:p>
        </w:tc>
        <w:tc>
          <w:tcPr>
            <w:tcW w:w="1441" w:type="pct"/>
            <w:shd w:val="clear" w:color="auto" w:fill="auto"/>
          </w:tcPr>
          <w:p w14:paraId="31D1F686" w14:textId="3867528F" w:rsidR="00FE2BC9" w:rsidRPr="003E0EF5"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6</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74</w:t>
            </w:r>
          </w:p>
        </w:tc>
      </w:tr>
      <w:tr w:rsidR="00FE2BC9" w:rsidRPr="001330FC" w14:paraId="3E717F15" w14:textId="77777777" w:rsidTr="00617039">
        <w:tc>
          <w:tcPr>
            <w:tcW w:w="2115" w:type="pct"/>
            <w:shd w:val="clear" w:color="auto" w:fill="auto"/>
            <w:vAlign w:val="center"/>
          </w:tcPr>
          <w:p w14:paraId="0353B976" w14:textId="77777777" w:rsidR="00FE2BC9" w:rsidRPr="001330FC" w:rsidRDefault="00FE2BC9" w:rsidP="00FE2BC9">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4C6A9D33" w:rsidR="00FE2BC9" w:rsidRPr="003E0EF5"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37</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58</w:t>
            </w:r>
          </w:p>
        </w:tc>
        <w:tc>
          <w:tcPr>
            <w:tcW w:w="1441" w:type="pct"/>
            <w:shd w:val="clear" w:color="auto" w:fill="auto"/>
          </w:tcPr>
          <w:p w14:paraId="6BB5F47E" w14:textId="5693DF29" w:rsidR="00FE2BC9" w:rsidRPr="003E0EF5"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11</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22</w:t>
            </w:r>
          </w:p>
        </w:tc>
      </w:tr>
      <w:tr w:rsidR="00FE2BC9" w:rsidRPr="001330FC" w14:paraId="15A9300F" w14:textId="77777777" w:rsidTr="00617039">
        <w:tc>
          <w:tcPr>
            <w:tcW w:w="2115" w:type="pct"/>
            <w:shd w:val="clear" w:color="auto" w:fill="auto"/>
            <w:vAlign w:val="center"/>
          </w:tcPr>
          <w:p w14:paraId="23252578" w14:textId="77777777" w:rsidR="00FE2BC9" w:rsidRPr="001330FC" w:rsidRDefault="00FE2BC9" w:rsidP="00FE2BC9">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4D4BEF42" w:rsidR="00FE2BC9" w:rsidRPr="003E0EF5"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40</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57</w:t>
            </w:r>
          </w:p>
        </w:tc>
        <w:tc>
          <w:tcPr>
            <w:tcW w:w="1441" w:type="pct"/>
            <w:shd w:val="clear" w:color="auto" w:fill="auto"/>
          </w:tcPr>
          <w:p w14:paraId="22F7C0B9" w14:textId="61B71FCF" w:rsidR="00FE2BC9" w:rsidRPr="003E0EF5" w:rsidRDefault="00FE2BC9" w:rsidP="00FE2BC9">
            <w:pPr>
              <w:tabs>
                <w:tab w:val="left" w:pos="540"/>
              </w:tabs>
              <w:spacing w:before="120" w:after="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7</w:t>
            </w:r>
            <w:r w:rsidR="00CB11D2">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44</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E67E98" w:rsidRPr="001330FC" w14:paraId="6BD9BADA" w14:textId="77777777" w:rsidTr="008D0C99">
        <w:trPr>
          <w:trHeight w:val="774"/>
        </w:trPr>
        <w:tc>
          <w:tcPr>
            <w:tcW w:w="2114" w:type="pct"/>
            <w:shd w:val="clear" w:color="auto" w:fill="auto"/>
          </w:tcPr>
          <w:p w14:paraId="0B375C4A" w14:textId="77777777"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0B41A353" w14:textId="1053B8B2"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E67E98" w:rsidRPr="004647B9">
              <w:rPr>
                <w:rFonts w:ascii="Times New Roman" w:eastAsia="Times New Roman" w:hAnsi="Times New Roman"/>
                <w:b/>
                <w:sz w:val="24"/>
                <w:szCs w:val="24"/>
                <w:lang w:val="nl-NL"/>
              </w:rPr>
              <w:t>/202</w:t>
            </w:r>
            <w:r w:rsidR="00E67E98">
              <w:rPr>
                <w:rFonts w:ascii="Times New Roman" w:eastAsia="Times New Roman" w:hAnsi="Times New Roman"/>
                <w:b/>
                <w:sz w:val="24"/>
                <w:szCs w:val="24"/>
                <w:lang w:val="nl-NL"/>
              </w:rPr>
              <w:t>3</w:t>
            </w:r>
          </w:p>
          <w:p w14:paraId="4D4EEB62" w14:textId="70235F59"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61F2A178" w14:textId="393C2E5D"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22</w:t>
            </w:r>
          </w:p>
          <w:p w14:paraId="595F60E4" w14:textId="34296564"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7389DF5C" w14:textId="1C0344C9"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59531B">
              <w:rPr>
                <w:rFonts w:ascii="Times New Roman" w:eastAsia="Times New Roman" w:hAnsi="Times New Roman"/>
                <w:b/>
                <w:sz w:val="24"/>
                <w:szCs w:val="24"/>
                <w:lang w:val="nl-NL"/>
              </w:rPr>
              <w:t>9</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21</w:t>
            </w:r>
          </w:p>
          <w:p w14:paraId="2B058C43" w14:textId="0B4AD312"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FE2BC9" w:rsidRPr="00A90AB7" w14:paraId="2450D773" w14:textId="77777777" w:rsidTr="00BE6F58">
        <w:tc>
          <w:tcPr>
            <w:tcW w:w="2114" w:type="pct"/>
            <w:shd w:val="clear" w:color="auto" w:fill="auto"/>
          </w:tcPr>
          <w:p w14:paraId="1AE229FE" w14:textId="3BE99F55" w:rsidR="00FE2BC9" w:rsidRPr="001330FC" w:rsidRDefault="00FE2BC9" w:rsidP="00FE2BC9">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7B7897D7" w:rsidR="00FE2BC9" w:rsidRPr="003E0EF5" w:rsidRDefault="00FE2BC9" w:rsidP="00FE2BC9">
            <w:pPr>
              <w:tabs>
                <w:tab w:val="left" w:pos="540"/>
              </w:tabs>
              <w:spacing w:before="12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74</w:t>
            </w:r>
          </w:p>
        </w:tc>
        <w:tc>
          <w:tcPr>
            <w:tcW w:w="1009" w:type="pct"/>
            <w:shd w:val="clear" w:color="auto" w:fill="auto"/>
          </w:tcPr>
          <w:p w14:paraId="34A7EE47" w14:textId="4F5C3959" w:rsidR="00FE2BC9" w:rsidRPr="003E0EF5" w:rsidRDefault="00FE2BC9" w:rsidP="00FE2BC9">
            <w:pPr>
              <w:tabs>
                <w:tab w:val="left" w:pos="540"/>
              </w:tabs>
              <w:spacing w:before="12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08</w:t>
            </w:r>
          </w:p>
        </w:tc>
        <w:tc>
          <w:tcPr>
            <w:tcW w:w="914" w:type="pct"/>
            <w:shd w:val="clear" w:color="auto" w:fill="auto"/>
          </w:tcPr>
          <w:p w14:paraId="296CFA3A" w14:textId="430F3C56" w:rsidR="00FE2BC9" w:rsidRPr="003E0EF5" w:rsidRDefault="00FE2BC9" w:rsidP="00FE2BC9">
            <w:pPr>
              <w:tabs>
                <w:tab w:val="left" w:pos="540"/>
              </w:tabs>
              <w:spacing w:before="120" w:line="240" w:lineRule="auto"/>
              <w:jc w:val="center"/>
              <w:rPr>
                <w:rFonts w:ascii="Times New Roman" w:eastAsia="Times New Roman" w:hAnsi="Times New Roman"/>
                <w:sz w:val="24"/>
                <w:szCs w:val="24"/>
                <w:lang w:val="nl-NL"/>
              </w:rPr>
            </w:pPr>
            <w:r w:rsidRPr="00FE2BC9">
              <w:rPr>
                <w:rFonts w:ascii="Times New Roman" w:eastAsia="Times New Roman" w:hAnsi="Times New Roman"/>
                <w:sz w:val="24"/>
                <w:szCs w:val="24"/>
                <w:lang w:val="nl-NL"/>
              </w:rPr>
              <w:t>51</w:t>
            </w:r>
            <w:r>
              <w:rPr>
                <w:rFonts w:ascii="Times New Roman" w:eastAsia="Times New Roman" w:hAnsi="Times New Roman"/>
                <w:sz w:val="24"/>
                <w:szCs w:val="24"/>
                <w:lang w:val="nl-NL"/>
              </w:rPr>
              <w:t>,</w:t>
            </w:r>
            <w:r w:rsidRPr="00FE2BC9">
              <w:rPr>
                <w:rFonts w:ascii="Times New Roman" w:eastAsia="Times New Roman" w:hAnsi="Times New Roman"/>
                <w:sz w:val="24"/>
                <w:szCs w:val="24"/>
                <w:lang w:val="nl-NL"/>
              </w:rPr>
              <w:t>78</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677E3">
        <w:rPr>
          <w:rFonts w:ascii="Times New Roman" w:hAnsi="Times New Roman"/>
          <w:b/>
          <w:sz w:val="24"/>
          <w:szCs w:val="24"/>
          <w:lang w:val="nl-NL"/>
        </w:rPr>
        <w:t>3</w:t>
      </w:r>
      <w:r w:rsidR="00BE6F63" w:rsidRPr="004677E3">
        <w:rPr>
          <w:rFonts w:ascii="Times New Roman" w:hAnsi="Times New Roman"/>
          <w:b/>
          <w:sz w:val="24"/>
          <w:szCs w:val="24"/>
          <w:lang w:val="nl-NL"/>
        </w:rPr>
        <w:t>. Mô tả thị trường trong kỳ:</w:t>
      </w:r>
    </w:p>
    <w:p w14:paraId="156D5544" w14:textId="77777777" w:rsidR="006871BD" w:rsidRDefault="006871BD" w:rsidP="006871BD">
      <w:pPr>
        <w:shd w:val="clear" w:color="auto" w:fill="FFFFFF"/>
        <w:tabs>
          <w:tab w:val="left" w:pos="540"/>
        </w:tabs>
        <w:spacing w:before="120" w:after="0" w:line="240" w:lineRule="auto"/>
        <w:jc w:val="both"/>
        <w:rPr>
          <w:rFonts w:ascii="Times New Roman" w:hAnsi="Times New Roman"/>
          <w:sz w:val="24"/>
          <w:szCs w:val="24"/>
        </w:rPr>
      </w:pPr>
      <w:bookmarkStart w:id="1" w:name="_Hlk139533534"/>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sidRPr="00BB1387">
        <w:rPr>
          <w:rFonts w:ascii="Times New Roman" w:hAnsi="Times New Roman"/>
          <w:sz w:val="24"/>
          <w:szCs w:val="24"/>
        </w:rPr>
        <w:t>phức</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tạp</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hơn</w:t>
      </w:r>
      <w:proofErr w:type="spellEnd"/>
      <w:r w:rsidRPr="00BB1387">
        <w:rPr>
          <w:rFonts w:ascii="Times New Roman" w:hAnsi="Times New Roman"/>
          <w:sz w:val="24"/>
          <w:szCs w:val="24"/>
        </w:rPr>
        <w:t>,</w:t>
      </w:r>
      <w:r>
        <w:rPr>
          <w:rFonts w:ascii="Times New Roman" w:hAnsi="Times New Roman"/>
          <w:sz w:val="24"/>
          <w:szCs w:val="24"/>
        </w:rPr>
        <w:t xml:space="preserve"> </w:t>
      </w:r>
      <w:proofErr w:type="gramStart"/>
      <w:r w:rsidRPr="00BB1387">
        <w:rPr>
          <w:rFonts w:ascii="Times New Roman" w:hAnsi="Times New Roman"/>
          <w:sz w:val="24"/>
          <w:szCs w:val="24"/>
        </w:rPr>
        <w:t>an</w:t>
      </w:r>
      <w:proofErr w:type="gramEnd"/>
      <w:r w:rsidRPr="00BB1387">
        <w:rPr>
          <w:rFonts w:ascii="Times New Roman" w:hAnsi="Times New Roman"/>
          <w:sz w:val="24"/>
          <w:szCs w:val="24"/>
        </w:rPr>
        <w:t xml:space="preserve"> </w:t>
      </w:r>
      <w:proofErr w:type="spellStart"/>
      <w:r w:rsidRPr="00BB1387">
        <w:rPr>
          <w:rFonts w:ascii="Times New Roman" w:hAnsi="Times New Roman"/>
          <w:sz w:val="24"/>
          <w:szCs w:val="24"/>
        </w:rPr>
        <w:t>ninh</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lương</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thực</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thiên</w:t>
      </w:r>
      <w:proofErr w:type="spellEnd"/>
      <w:r w:rsidRPr="00BB1387">
        <w:rPr>
          <w:rFonts w:ascii="Times New Roman" w:hAnsi="Times New Roman"/>
          <w:sz w:val="24"/>
          <w:szCs w:val="24"/>
        </w:rPr>
        <w:t xml:space="preserve"> tai, </w:t>
      </w:r>
      <w:proofErr w:type="spellStart"/>
      <w:r w:rsidRPr="00BB1387">
        <w:rPr>
          <w:rFonts w:ascii="Times New Roman" w:hAnsi="Times New Roman"/>
          <w:sz w:val="24"/>
          <w:szCs w:val="24"/>
        </w:rPr>
        <w:t>biến</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đổi</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khi</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hậu</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ngày</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càng</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gia</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Châu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neo ở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thậm</w:t>
      </w:r>
      <w:proofErr w:type="spellEnd"/>
      <w:r>
        <w:rPr>
          <w:rFonts w:ascii="Times New Roman" w:hAnsi="Times New Roman"/>
          <w:sz w:val="24"/>
          <w:szCs w:val="24"/>
        </w:rPr>
        <w:t xml:space="preserve"> </w:t>
      </w:r>
      <w:proofErr w:type="spellStart"/>
      <w:r>
        <w:rPr>
          <w:rFonts w:ascii="Times New Roman" w:hAnsi="Times New Roman"/>
          <w:sz w:val="24"/>
          <w:szCs w:val="24"/>
        </w:rPr>
        <w:t>chí</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Trung Quốc,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đây</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w:t>
      </w:r>
      <w:r w:rsidRPr="00290D33">
        <w:rPr>
          <w:rFonts w:ascii="Times New Roman" w:hAnsi="Times New Roman"/>
          <w:sz w:val="24"/>
          <w:szCs w:val="24"/>
        </w:rPr>
        <w:t xml:space="preserve">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Pr>
          <w:rFonts w:ascii="Times New Roman" w:hAnsi="Times New Roman"/>
          <w:sz w:val="24"/>
          <w:szCs w:val="24"/>
        </w:rPr>
        <w:t>.</w:t>
      </w:r>
      <w:r w:rsidRPr="00290D33">
        <w:rPr>
          <w:rFonts w:ascii="Times New Roman" w:hAnsi="Times New Roman"/>
          <w:sz w:val="24"/>
          <w:szCs w:val="24"/>
        </w:rPr>
        <w:t xml:space="preserve"> </w:t>
      </w:r>
    </w:p>
    <w:p w14:paraId="1E6CD764" w14:textId="77777777" w:rsidR="006871BD" w:rsidRPr="00290D33" w:rsidRDefault="006871BD" w:rsidP="006871BD">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ngân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khẩu</w:t>
      </w:r>
      <w:proofErr w:type="spellEnd"/>
      <w:r>
        <w:rPr>
          <w:rFonts w:ascii="Times New Roman" w:hAnsi="Times New Roman"/>
          <w:sz w:val="24"/>
          <w:szCs w:val="24"/>
        </w:rPr>
        <w:t xml:space="preserve"> </w:t>
      </w:r>
      <w:proofErr w:type="spellStart"/>
      <w:r>
        <w:rPr>
          <w:rFonts w:ascii="Times New Roman" w:hAnsi="Times New Roman"/>
          <w:sz w:val="24"/>
          <w:szCs w:val="24"/>
        </w:rPr>
        <w:t>gặp</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3</w:t>
      </w:r>
      <w:r w:rsidRPr="00290D33">
        <w:rPr>
          <w:rFonts w:ascii="Times New Roman" w:hAnsi="Times New Roman"/>
          <w:sz w:val="24"/>
          <w:szCs w:val="24"/>
        </w:rPr>
        <w:t xml:space="preserve">. </w:t>
      </w:r>
    </w:p>
    <w:p w14:paraId="508FC7F5" w14:textId="77777777" w:rsidR="006871BD" w:rsidRPr="006137E1" w:rsidRDefault="006871BD" w:rsidP="006871BD">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Tuy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GDP Quý 3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5,33%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2023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4,24%,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2,19% </w:t>
      </w:r>
      <w:proofErr w:type="spellStart"/>
      <w:r>
        <w:rPr>
          <w:rFonts w:ascii="Times New Roman" w:hAnsi="Times New Roman"/>
          <w:sz w:val="24"/>
          <w:szCs w:val="24"/>
        </w:rPr>
        <w:t>và</w:t>
      </w:r>
      <w:proofErr w:type="spellEnd"/>
      <w:r>
        <w:rPr>
          <w:rFonts w:ascii="Times New Roman" w:hAnsi="Times New Roman"/>
          <w:sz w:val="24"/>
          <w:szCs w:val="24"/>
        </w:rPr>
        <w:t xml:space="preserve"> 1,57% </w:t>
      </w:r>
      <w:proofErr w:type="spellStart"/>
      <w:r>
        <w:rPr>
          <w:rFonts w:ascii="Times New Roman" w:hAnsi="Times New Roman"/>
          <w:sz w:val="24"/>
          <w:szCs w:val="24"/>
        </w:rPr>
        <w:t>của</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và</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2011-2023.</w:t>
      </w:r>
      <w:r w:rsidRPr="006137E1">
        <w:rPr>
          <w:rFonts w:ascii="Times New Roman" w:hAnsi="Times New Roman"/>
          <w:color w:val="FF0000"/>
          <w:sz w:val="24"/>
          <w:szCs w:val="24"/>
        </w:rPr>
        <w:t xml:space="preserve"> </w:t>
      </w:r>
      <w:r w:rsidRPr="00612698">
        <w:rPr>
          <w:rFonts w:ascii="Times New Roman" w:hAnsi="Times New Roman"/>
          <w:color w:val="000000" w:themeColor="text1"/>
          <w:sz w:val="24"/>
          <w:szCs w:val="24"/>
        </w:rPr>
        <w:t xml:space="preserve">Trong </w:t>
      </w:r>
      <w:proofErr w:type="spellStart"/>
      <w:r w:rsidRPr="00612698">
        <w:rPr>
          <w:rFonts w:ascii="Times New Roman" w:hAnsi="Times New Roman"/>
          <w:color w:val="000000" w:themeColor="text1"/>
          <w:sz w:val="24"/>
          <w:szCs w:val="24"/>
        </w:rPr>
        <w:t>mức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tổng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giá</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trị</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thêm</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của</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toàn</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nền</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kinh</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tế</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khu</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vực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nông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lâm</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nghiệp</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và</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thủy</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sản</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3,43%, </w:t>
      </w:r>
      <w:proofErr w:type="spellStart"/>
      <w:r w:rsidRPr="00612698">
        <w:rPr>
          <w:rFonts w:ascii="Times New Roman" w:hAnsi="Times New Roman"/>
          <w:color w:val="000000" w:themeColor="text1"/>
          <w:sz w:val="24"/>
          <w:szCs w:val="24"/>
        </w:rPr>
        <w:t>đóng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góp</w:t>
      </w:r>
      <w:proofErr w:type="spellEnd"/>
      <w:r w:rsidRPr="00612698">
        <w:rPr>
          <w:rFonts w:ascii="Times New Roman" w:hAnsi="Times New Roman"/>
          <w:color w:val="000000" w:themeColor="text1"/>
          <w:sz w:val="24"/>
          <w:szCs w:val="24"/>
        </w:rPr>
        <w:t xml:space="preserve"> 9,16%; </w:t>
      </w:r>
      <w:proofErr w:type="spellStart"/>
      <w:r w:rsidRPr="00612698">
        <w:rPr>
          <w:rFonts w:ascii="Times New Roman" w:hAnsi="Times New Roman"/>
          <w:color w:val="000000" w:themeColor="text1"/>
          <w:sz w:val="24"/>
          <w:szCs w:val="24"/>
        </w:rPr>
        <w:t>khu</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vực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công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nghiệp</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và</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xây</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dựng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w:t>
      </w:r>
      <w:r w:rsidRPr="00612698">
        <w:rPr>
          <w:rFonts w:ascii="Times New Roman" w:hAnsi="Times New Roman"/>
          <w:color w:val="000000" w:themeColor="text1"/>
          <w:sz w:val="24"/>
          <w:szCs w:val="24"/>
        </w:rPr>
        <w:lastRenderedPageBreak/>
        <w:t xml:space="preserve">2,41%, </w:t>
      </w:r>
      <w:proofErr w:type="spellStart"/>
      <w:r w:rsidRPr="00612698">
        <w:rPr>
          <w:rFonts w:ascii="Times New Roman" w:hAnsi="Times New Roman"/>
          <w:color w:val="000000" w:themeColor="text1"/>
          <w:sz w:val="24"/>
          <w:szCs w:val="24"/>
        </w:rPr>
        <w:t>đóng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góp</w:t>
      </w:r>
      <w:proofErr w:type="spellEnd"/>
      <w:r w:rsidRPr="00612698">
        <w:rPr>
          <w:rFonts w:ascii="Times New Roman" w:hAnsi="Times New Roman"/>
          <w:color w:val="000000" w:themeColor="text1"/>
          <w:sz w:val="24"/>
          <w:szCs w:val="24"/>
        </w:rPr>
        <w:t xml:space="preserve"> 22,27%; </w:t>
      </w:r>
      <w:proofErr w:type="spellStart"/>
      <w:r w:rsidRPr="00612698">
        <w:rPr>
          <w:rFonts w:ascii="Times New Roman" w:hAnsi="Times New Roman"/>
          <w:color w:val="000000" w:themeColor="text1"/>
          <w:sz w:val="24"/>
          <w:szCs w:val="24"/>
        </w:rPr>
        <w:t>khu</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vực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dịch</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vụ</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6,32%, </w:t>
      </w:r>
      <w:proofErr w:type="spellStart"/>
      <w:r w:rsidRPr="00612698">
        <w:rPr>
          <w:rFonts w:ascii="Times New Roman" w:hAnsi="Times New Roman"/>
          <w:color w:val="000000" w:themeColor="text1"/>
          <w:sz w:val="24"/>
          <w:szCs w:val="24"/>
        </w:rPr>
        <w:t>đóng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góp</w:t>
      </w:r>
      <w:proofErr w:type="spellEnd"/>
      <w:r w:rsidRPr="00612698">
        <w:rPr>
          <w:rFonts w:ascii="Times New Roman" w:hAnsi="Times New Roman"/>
          <w:color w:val="000000" w:themeColor="text1"/>
          <w:sz w:val="24"/>
          <w:szCs w:val="24"/>
        </w:rPr>
        <w:t xml:space="preserve"> 68,57%</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hoạt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động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ngoại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thương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theo</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chung</w:t>
      </w:r>
      <w:proofErr w:type="spellEnd"/>
      <w:r>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của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cầu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thế</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giới</w:t>
      </w:r>
      <w:proofErr w:type="spellEnd"/>
      <w:r w:rsidRPr="00AB1DB1">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kim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ngạch</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xuất</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khẩu</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đạt</w:t>
      </w:r>
      <w:proofErr w:type="spellEnd"/>
      <w:r w:rsidRPr="000B64D5">
        <w:rPr>
          <w:rFonts w:ascii="Times New Roman" w:hAnsi="Times New Roman"/>
          <w:color w:val="000000" w:themeColor="text1"/>
          <w:sz w:val="24"/>
          <w:szCs w:val="24"/>
        </w:rPr>
        <w:t xml:space="preserve"> 94,6 </w:t>
      </w:r>
      <w:proofErr w:type="spellStart"/>
      <w:r w:rsidRPr="000B64D5">
        <w:rPr>
          <w:rFonts w:ascii="Times New Roman" w:hAnsi="Times New Roman"/>
          <w:color w:val="000000" w:themeColor="text1"/>
          <w:sz w:val="24"/>
          <w:szCs w:val="24"/>
        </w:rPr>
        <w:t>tỷ</w:t>
      </w:r>
      <w:proofErr w:type="spellEnd"/>
      <w:r w:rsidRPr="000B64D5">
        <w:rPr>
          <w:rFonts w:ascii="Times New Roman" w:hAnsi="Times New Roman"/>
          <w:color w:val="000000" w:themeColor="text1"/>
          <w:sz w:val="24"/>
          <w:szCs w:val="24"/>
        </w:rPr>
        <w:t xml:space="preserve"> USD, </w:t>
      </w:r>
      <w:proofErr w:type="spellStart"/>
      <w:r w:rsidRPr="000B64D5">
        <w:rPr>
          <w:rFonts w:ascii="Times New Roman" w:hAnsi="Times New Roman"/>
          <w:color w:val="000000" w:themeColor="text1"/>
          <w:sz w:val="24"/>
          <w:szCs w:val="24"/>
        </w:rPr>
        <w:t>giảm</w:t>
      </w:r>
      <w:proofErr w:type="spellEnd"/>
      <w:r w:rsidRPr="000B64D5">
        <w:rPr>
          <w:rFonts w:ascii="Times New Roman" w:hAnsi="Times New Roman"/>
          <w:color w:val="000000" w:themeColor="text1"/>
          <w:sz w:val="24"/>
          <w:szCs w:val="24"/>
        </w:rPr>
        <w:t xml:space="preserve"> 1,2%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cùng</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kỳ</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trước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và</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tăng</w:t>
      </w:r>
      <w:proofErr w:type="spellEnd"/>
      <w:r w:rsidRPr="000B64D5">
        <w:rPr>
          <w:rFonts w:ascii="Times New Roman" w:hAnsi="Times New Roman"/>
          <w:color w:val="000000" w:themeColor="text1"/>
          <w:sz w:val="24"/>
          <w:szCs w:val="24"/>
        </w:rPr>
        <w:t xml:space="preserve"> 10,3%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quý</w:t>
      </w:r>
      <w:proofErr w:type="spellEnd"/>
      <w:r w:rsidRPr="000B64D5">
        <w:rPr>
          <w:rFonts w:ascii="Times New Roman" w:hAnsi="Times New Roman"/>
          <w:color w:val="000000" w:themeColor="text1"/>
          <w:sz w:val="24"/>
          <w:szCs w:val="24"/>
        </w:rPr>
        <w:t xml:space="preserve"> II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2023</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khi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đó</w:t>
      </w:r>
      <w:proofErr w:type="spellEnd"/>
      <w:r w:rsidRPr="00AB1DB1">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kim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ngạch</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nhập</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khẩu</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đạt</w:t>
      </w:r>
      <w:proofErr w:type="spellEnd"/>
      <w:r w:rsidRPr="000B64D5">
        <w:rPr>
          <w:rFonts w:ascii="Times New Roman" w:hAnsi="Times New Roman"/>
          <w:color w:val="000000" w:themeColor="text1"/>
          <w:sz w:val="24"/>
          <w:szCs w:val="24"/>
        </w:rPr>
        <w:t xml:space="preserve"> 86 </w:t>
      </w:r>
      <w:proofErr w:type="spellStart"/>
      <w:r w:rsidRPr="000B64D5">
        <w:rPr>
          <w:rFonts w:ascii="Times New Roman" w:hAnsi="Times New Roman"/>
          <w:color w:val="000000" w:themeColor="text1"/>
          <w:sz w:val="24"/>
          <w:szCs w:val="24"/>
        </w:rPr>
        <w:t>tỷ</w:t>
      </w:r>
      <w:proofErr w:type="spellEnd"/>
      <w:r w:rsidRPr="000B64D5">
        <w:rPr>
          <w:rFonts w:ascii="Times New Roman" w:hAnsi="Times New Roman"/>
          <w:color w:val="000000" w:themeColor="text1"/>
          <w:sz w:val="24"/>
          <w:szCs w:val="24"/>
        </w:rPr>
        <w:t xml:space="preserve"> USD, </w:t>
      </w:r>
      <w:proofErr w:type="spellStart"/>
      <w:r w:rsidRPr="000B64D5">
        <w:rPr>
          <w:rFonts w:ascii="Times New Roman" w:hAnsi="Times New Roman"/>
          <w:color w:val="000000" w:themeColor="text1"/>
          <w:sz w:val="24"/>
          <w:szCs w:val="24"/>
        </w:rPr>
        <w:t>giảm</w:t>
      </w:r>
      <w:proofErr w:type="spellEnd"/>
      <w:r w:rsidRPr="000B64D5">
        <w:rPr>
          <w:rFonts w:ascii="Times New Roman" w:hAnsi="Times New Roman"/>
          <w:color w:val="000000" w:themeColor="text1"/>
          <w:sz w:val="24"/>
          <w:szCs w:val="24"/>
        </w:rPr>
        <w:t xml:space="preserve"> 4,5%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cùng</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kỳ</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trước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và</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tăng</w:t>
      </w:r>
      <w:proofErr w:type="spellEnd"/>
      <w:r w:rsidRPr="000B64D5">
        <w:rPr>
          <w:rFonts w:ascii="Times New Roman" w:hAnsi="Times New Roman"/>
          <w:color w:val="000000" w:themeColor="text1"/>
          <w:sz w:val="24"/>
          <w:szCs w:val="24"/>
        </w:rPr>
        <w:t xml:space="preserve"> 11%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quý</w:t>
      </w:r>
      <w:proofErr w:type="spellEnd"/>
      <w:r w:rsidRPr="000B64D5">
        <w:rPr>
          <w:rFonts w:ascii="Times New Roman" w:hAnsi="Times New Roman"/>
          <w:color w:val="000000" w:themeColor="text1"/>
          <w:sz w:val="24"/>
          <w:szCs w:val="24"/>
        </w:rPr>
        <w:t xml:space="preserve"> II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2023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Chỉ</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số</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quản</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trị</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mua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hàng</w:t>
      </w:r>
      <w:proofErr w:type="spellEnd"/>
      <w:r w:rsidRPr="00AB1DB1">
        <w:rPr>
          <w:rFonts w:ascii="Times New Roman" w:hAnsi="Times New Roman"/>
          <w:color w:val="000000" w:themeColor="text1"/>
          <w:sz w:val="24"/>
          <w:szCs w:val="24"/>
        </w:rPr>
        <w:t xml:space="preserve"> – PMI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tháng</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ở</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dưới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50 </w:t>
      </w:r>
      <w:proofErr w:type="spellStart"/>
      <w:r>
        <w:rPr>
          <w:rFonts w:ascii="Times New Roman" w:hAnsi="Times New Roman"/>
          <w:color w:val="000000" w:themeColor="text1"/>
          <w:sz w:val="24"/>
          <w:szCs w:val="24"/>
        </w:rPr>
        <w:t>sau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8,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49,7;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này</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trọng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tuyển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nhưng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chưa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w:t>
      </w:r>
      <w:r>
        <w:rPr>
          <w:rFonts w:ascii="Times New Roman" w:hAnsi="Times New Roman"/>
          <w:color w:val="000000" w:themeColor="text1"/>
          <w:sz w:val="24"/>
          <w:szCs w:val="24"/>
        </w:rPr>
        <w:t xml:space="preserve"> Quý 3</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70554F">
        <w:rPr>
          <w:rFonts w:ascii="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số</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liệu</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cập</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nhật</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của</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Tổng</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Cục</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Thống</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Kê</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cho</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eastAsia="Times New Roman" w:hAnsi="Times New Roman"/>
          <w:color w:val="000000" w:themeColor="text1"/>
          <w:sz w:val="24"/>
          <w:szCs w:val="24"/>
        </w:rPr>
        <w:t>thấy</w:t>
      </w:r>
      <w:proofErr w:type="spellEnd"/>
      <w:r w:rsidRPr="006A39DF">
        <w:rPr>
          <w:rFonts w:ascii="Times New Roman" w:eastAsia="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tính</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đến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cuối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tháng</w:t>
      </w:r>
      <w:proofErr w:type="spellEnd"/>
      <w:r w:rsidRPr="006A39DF">
        <w:rPr>
          <w:rFonts w:ascii="Times New Roman" w:hAnsi="Times New Roman"/>
          <w:color w:val="000000" w:themeColor="text1"/>
          <w:sz w:val="24"/>
          <w:szCs w:val="24"/>
        </w:rPr>
        <w:t xml:space="preserve"> 9 </w:t>
      </w:r>
      <w:proofErr w:type="spellStart"/>
      <w:r w:rsidRPr="006A39DF">
        <w:rPr>
          <w:rFonts w:ascii="Times New Roman" w:hAnsi="Times New Roman"/>
          <w:color w:val="000000" w:themeColor="text1"/>
          <w:sz w:val="24"/>
          <w:szCs w:val="24"/>
        </w:rPr>
        <w:t>năm</w:t>
      </w:r>
      <w:proofErr w:type="spellEnd"/>
      <w:r w:rsidRPr="006A39DF">
        <w:rPr>
          <w:rFonts w:ascii="Times New Roman" w:hAnsi="Times New Roman"/>
          <w:color w:val="000000" w:themeColor="text1"/>
          <w:sz w:val="24"/>
          <w:szCs w:val="24"/>
        </w:rPr>
        <w:t xml:space="preserve"> 2023, </w:t>
      </w:r>
      <w:proofErr w:type="spellStart"/>
      <w:r w:rsidRPr="006A39DF">
        <w:rPr>
          <w:rFonts w:ascii="Times New Roman" w:hAnsi="Times New Roman"/>
          <w:color w:val="000000" w:themeColor="text1"/>
          <w:sz w:val="24"/>
          <w:szCs w:val="24"/>
        </w:rPr>
        <w:t>tổng</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vốn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đăng</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ký</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cấp</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mới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điều</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chỉnh</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và</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góp</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vốn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mua</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cổ</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phần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của</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Nhà</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đầu</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tư</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nước</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ngoài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đạt</w:t>
      </w:r>
      <w:proofErr w:type="spellEnd"/>
      <w:r w:rsidRPr="006A39DF">
        <w:rPr>
          <w:rFonts w:ascii="Times New Roman" w:hAnsi="Times New Roman"/>
          <w:color w:val="000000" w:themeColor="text1"/>
          <w:sz w:val="24"/>
          <w:szCs w:val="24"/>
        </w:rPr>
        <w:t xml:space="preserve"> 20,21 </w:t>
      </w:r>
      <w:proofErr w:type="spellStart"/>
      <w:r w:rsidRPr="006A39DF">
        <w:rPr>
          <w:rFonts w:ascii="Times New Roman" w:hAnsi="Times New Roman"/>
          <w:color w:val="000000" w:themeColor="text1"/>
          <w:sz w:val="24"/>
          <w:szCs w:val="24"/>
        </w:rPr>
        <w:t>tỷ</w:t>
      </w:r>
      <w:proofErr w:type="spellEnd"/>
      <w:r w:rsidRPr="006A39DF">
        <w:rPr>
          <w:rFonts w:ascii="Times New Roman" w:hAnsi="Times New Roman"/>
          <w:color w:val="000000" w:themeColor="text1"/>
          <w:sz w:val="24"/>
          <w:szCs w:val="24"/>
        </w:rPr>
        <w:t xml:space="preserve"> USD, </w:t>
      </w:r>
      <w:proofErr w:type="spellStart"/>
      <w:r w:rsidRPr="006A39DF">
        <w:rPr>
          <w:rFonts w:ascii="Times New Roman" w:hAnsi="Times New Roman"/>
          <w:color w:val="000000" w:themeColor="text1"/>
          <w:sz w:val="24"/>
          <w:szCs w:val="24"/>
        </w:rPr>
        <w:t>tăng</w:t>
      </w:r>
      <w:proofErr w:type="spellEnd"/>
      <w:r w:rsidRPr="006A39DF">
        <w:rPr>
          <w:rFonts w:ascii="Times New Roman" w:hAnsi="Times New Roman"/>
          <w:color w:val="000000" w:themeColor="text1"/>
          <w:sz w:val="24"/>
          <w:szCs w:val="24"/>
        </w:rPr>
        <w:t xml:space="preserve"> 7,7% so </w:t>
      </w:r>
      <w:proofErr w:type="spellStart"/>
      <w:r w:rsidRPr="006A39DF">
        <w:rPr>
          <w:rFonts w:ascii="Times New Roman" w:hAnsi="Times New Roman"/>
          <w:color w:val="000000" w:themeColor="text1"/>
          <w:sz w:val="24"/>
          <w:szCs w:val="24"/>
        </w:rPr>
        <w:t>với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cùng</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kỳ</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năm</w:t>
      </w:r>
      <w:proofErr w:type="spellEnd"/>
      <w:r w:rsidRPr="006A39DF">
        <w:rPr>
          <w:rFonts w:ascii="Times New Roman" w:hAnsi="Times New Roman"/>
          <w:color w:val="000000" w:themeColor="text1"/>
          <w:sz w:val="24"/>
          <w:szCs w:val="24"/>
        </w:rPr>
        <w:t xml:space="preserve"> 2022. Trong </w:t>
      </w:r>
      <w:proofErr w:type="spellStart"/>
      <w:r w:rsidRPr="006A39DF">
        <w:rPr>
          <w:rFonts w:ascii="Times New Roman" w:hAnsi="Times New Roman"/>
          <w:color w:val="000000" w:themeColor="text1"/>
          <w:sz w:val="24"/>
          <w:szCs w:val="24"/>
        </w:rPr>
        <w:t>khi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đó</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vốn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thực</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hiện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của</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dự</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án</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đầu</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tư</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trực</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tiếp</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nước</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ngoài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ước</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đạt</w:t>
      </w:r>
      <w:proofErr w:type="spellEnd"/>
      <w:r w:rsidRPr="006A39DF">
        <w:rPr>
          <w:rFonts w:ascii="Times New Roman" w:hAnsi="Times New Roman"/>
          <w:color w:val="000000" w:themeColor="text1"/>
          <w:sz w:val="24"/>
          <w:szCs w:val="24"/>
        </w:rPr>
        <w:t xml:space="preserve"> 15,91 </w:t>
      </w:r>
      <w:proofErr w:type="spellStart"/>
      <w:r w:rsidRPr="006A39DF">
        <w:rPr>
          <w:rFonts w:ascii="Times New Roman" w:hAnsi="Times New Roman"/>
          <w:color w:val="000000" w:themeColor="text1"/>
          <w:sz w:val="24"/>
          <w:szCs w:val="24"/>
        </w:rPr>
        <w:t>tỷ</w:t>
      </w:r>
      <w:proofErr w:type="spellEnd"/>
      <w:r w:rsidRPr="006A39DF">
        <w:rPr>
          <w:rFonts w:ascii="Times New Roman" w:hAnsi="Times New Roman"/>
          <w:color w:val="000000" w:themeColor="text1"/>
          <w:sz w:val="24"/>
          <w:szCs w:val="24"/>
        </w:rPr>
        <w:t xml:space="preserve"> USD </w:t>
      </w:r>
      <w:proofErr w:type="spellStart"/>
      <w:r w:rsidRPr="006A39DF">
        <w:rPr>
          <w:rFonts w:ascii="Times New Roman" w:hAnsi="Times New Roman"/>
          <w:color w:val="000000" w:themeColor="text1"/>
          <w:sz w:val="24"/>
          <w:szCs w:val="24"/>
        </w:rPr>
        <w:t>tăng</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nhẹ</w:t>
      </w:r>
      <w:proofErr w:type="spellEnd"/>
      <w:r w:rsidRPr="006A39DF">
        <w:rPr>
          <w:rFonts w:ascii="Times New Roman" w:hAnsi="Times New Roman"/>
          <w:color w:val="000000" w:themeColor="text1"/>
          <w:sz w:val="24"/>
          <w:szCs w:val="24"/>
        </w:rPr>
        <w:t xml:space="preserve"> 2,2% so </w:t>
      </w:r>
      <w:proofErr w:type="spellStart"/>
      <w:r w:rsidRPr="006A39DF">
        <w:rPr>
          <w:rFonts w:ascii="Times New Roman" w:hAnsi="Times New Roman"/>
          <w:color w:val="000000" w:themeColor="text1"/>
          <w:sz w:val="24"/>
          <w:szCs w:val="24"/>
        </w:rPr>
        <w:t>với</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cùng</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kỳ</w:t>
      </w:r>
      <w:proofErr w:type="spellEnd"/>
      <w:r w:rsidRPr="006A39DF">
        <w:rPr>
          <w:rFonts w:ascii="Times New Roman" w:hAnsi="Times New Roman"/>
          <w:color w:val="000000" w:themeColor="text1"/>
          <w:sz w:val="24"/>
          <w:szCs w:val="24"/>
        </w:rPr>
        <w:t xml:space="preserve"> </w:t>
      </w:r>
      <w:proofErr w:type="spellStart"/>
      <w:r w:rsidRPr="006A39DF">
        <w:rPr>
          <w:rFonts w:ascii="Times New Roman" w:hAnsi="Times New Roman"/>
          <w:color w:val="000000" w:themeColor="text1"/>
          <w:sz w:val="24"/>
          <w:szCs w:val="24"/>
        </w:rPr>
        <w:t>năm</w:t>
      </w:r>
      <w:proofErr w:type="spellEnd"/>
      <w:r w:rsidRPr="006A39DF">
        <w:rPr>
          <w:rFonts w:ascii="Times New Roman" w:hAnsi="Times New Roman"/>
          <w:color w:val="000000" w:themeColor="text1"/>
          <w:sz w:val="24"/>
          <w:szCs w:val="24"/>
        </w:rPr>
        <w:t xml:space="preserve"> 2022.</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L</w:t>
      </w:r>
      <w:r w:rsidRPr="00A6750D">
        <w:rPr>
          <w:rFonts w:ascii="Times New Roman" w:hAnsi="Times New Roman"/>
          <w:color w:val="000000" w:themeColor="text1"/>
          <w:sz w:val="24"/>
          <w:szCs w:val="24"/>
        </w:rPr>
        <w:t>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Quý III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dấu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chung</w:t>
      </w:r>
      <w:proofErr w:type="spellEnd"/>
      <w:r>
        <w:rPr>
          <w:rFonts w:ascii="Times New Roman" w:hAnsi="Times New Roman"/>
          <w:color w:val="000000" w:themeColor="text1"/>
          <w:sz w:val="24"/>
          <w:szCs w:val="24"/>
        </w:rPr>
        <w:t xml:space="preserve"> 9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3,16%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2022).</w:t>
      </w:r>
    </w:p>
    <w:bookmarkEnd w:id="1"/>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677E3">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A83802" w:rsidRPr="00A90AB7" w14:paraId="5AE0FE5D" w14:textId="77777777" w:rsidTr="00A83802">
        <w:tc>
          <w:tcPr>
            <w:tcW w:w="1875" w:type="pct"/>
            <w:shd w:val="clear" w:color="auto" w:fill="auto"/>
            <w:vAlign w:val="center"/>
          </w:tcPr>
          <w:p w14:paraId="3FAA0781" w14:textId="5850A4B8" w:rsidR="00A83802" w:rsidRPr="00A90AB7" w:rsidRDefault="00A83802" w:rsidP="00A8380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51A73531" w:rsidR="00A83802" w:rsidRPr="00A90AB7" w:rsidRDefault="00A83802" w:rsidP="00A83802">
            <w:pPr>
              <w:tabs>
                <w:tab w:val="left" w:pos="540"/>
              </w:tabs>
              <w:spacing w:after="0" w:line="240" w:lineRule="auto"/>
              <w:ind w:right="58"/>
              <w:jc w:val="center"/>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74</w:t>
            </w:r>
          </w:p>
        </w:tc>
        <w:tc>
          <w:tcPr>
            <w:tcW w:w="1024" w:type="pct"/>
            <w:shd w:val="clear" w:color="auto" w:fill="auto"/>
            <w:vAlign w:val="center"/>
          </w:tcPr>
          <w:p w14:paraId="79797E82" w14:textId="0DBCE621" w:rsidR="00A83802" w:rsidRPr="00A90AB7" w:rsidRDefault="00A83802" w:rsidP="00A83802">
            <w:pPr>
              <w:tabs>
                <w:tab w:val="left" w:pos="540"/>
              </w:tabs>
              <w:spacing w:after="0" w:line="240" w:lineRule="auto"/>
              <w:ind w:left="58" w:right="58"/>
              <w:jc w:val="center"/>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37</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58</w:t>
            </w:r>
          </w:p>
        </w:tc>
        <w:tc>
          <w:tcPr>
            <w:tcW w:w="1127" w:type="pct"/>
            <w:shd w:val="clear" w:color="auto" w:fill="auto"/>
            <w:vAlign w:val="center"/>
          </w:tcPr>
          <w:p w14:paraId="44F7360A" w14:textId="67273948" w:rsidR="00A83802" w:rsidRPr="00A90AB7" w:rsidRDefault="00A83802" w:rsidP="00A83802">
            <w:pPr>
              <w:tabs>
                <w:tab w:val="left" w:pos="540"/>
              </w:tabs>
              <w:spacing w:after="0" w:line="240" w:lineRule="auto"/>
              <w:ind w:left="58" w:right="58"/>
              <w:jc w:val="center"/>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40</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57</w:t>
            </w:r>
          </w:p>
        </w:tc>
      </w:tr>
      <w:tr w:rsidR="00A83802" w:rsidRPr="00A90AB7" w14:paraId="275BF76B" w14:textId="77777777" w:rsidTr="00A83802">
        <w:tc>
          <w:tcPr>
            <w:tcW w:w="1875" w:type="pct"/>
            <w:shd w:val="clear" w:color="auto" w:fill="auto"/>
            <w:vAlign w:val="center"/>
          </w:tcPr>
          <w:p w14:paraId="048B22BC" w14:textId="34AAB21A" w:rsidR="00A83802" w:rsidRPr="00A90AB7" w:rsidRDefault="00A83802" w:rsidP="00A8380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7165A314" w:rsidR="00A83802" w:rsidRPr="00A90AB7" w:rsidRDefault="00A83802" w:rsidP="00A83802">
            <w:pPr>
              <w:tabs>
                <w:tab w:val="left" w:pos="540"/>
              </w:tabs>
              <w:spacing w:after="0" w:line="240" w:lineRule="auto"/>
              <w:ind w:left="58" w:right="58"/>
              <w:jc w:val="center"/>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74</w:t>
            </w:r>
          </w:p>
        </w:tc>
        <w:tc>
          <w:tcPr>
            <w:tcW w:w="1024" w:type="pct"/>
            <w:shd w:val="clear" w:color="auto" w:fill="auto"/>
            <w:vAlign w:val="center"/>
          </w:tcPr>
          <w:p w14:paraId="32106B9E" w14:textId="7D42FE7A" w:rsidR="00A83802" w:rsidRPr="00A90AB7" w:rsidRDefault="00A83802" w:rsidP="00A83802">
            <w:pPr>
              <w:tabs>
                <w:tab w:val="left" w:pos="540"/>
              </w:tabs>
              <w:spacing w:after="0" w:line="240" w:lineRule="auto"/>
              <w:ind w:left="58" w:right="58"/>
              <w:jc w:val="center"/>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11</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22</w:t>
            </w:r>
          </w:p>
        </w:tc>
        <w:tc>
          <w:tcPr>
            <w:tcW w:w="1127" w:type="pct"/>
            <w:shd w:val="clear" w:color="auto" w:fill="auto"/>
            <w:vAlign w:val="center"/>
          </w:tcPr>
          <w:p w14:paraId="3AFD6D6E" w14:textId="6BB217F9" w:rsidR="00A83802" w:rsidRPr="00A90AB7" w:rsidRDefault="00A83802" w:rsidP="00A83802">
            <w:pPr>
              <w:tabs>
                <w:tab w:val="left" w:pos="540"/>
              </w:tabs>
              <w:spacing w:after="0" w:line="240" w:lineRule="auto"/>
              <w:ind w:left="58" w:right="58"/>
              <w:jc w:val="center"/>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44</w:t>
            </w:r>
          </w:p>
        </w:tc>
      </w:tr>
      <w:tr w:rsidR="008D0C99" w:rsidRPr="00A90AB7" w14:paraId="331CA308" w14:textId="77777777" w:rsidTr="00A83802">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7C37ED82" w:rsidR="003E0EF5" w:rsidRDefault="00703342"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089FA12C" wp14:editId="1CFCBF7B">
            <wp:extent cx="5943600" cy="3864634"/>
            <wp:effectExtent l="0" t="0" r="0" b="2540"/>
            <wp:docPr id="167212788"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2E6B2FA3"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30/0</w:t>
            </w:r>
            <w:r w:rsidR="0059531B">
              <w:rPr>
                <w:rFonts w:ascii="Times New Roman" w:eastAsia="Times New Roman" w:hAnsi="Times New Roman"/>
                <w:bCs/>
                <w:sz w:val="24"/>
                <w:szCs w:val="24"/>
                <w:lang w:val="nl-NL"/>
              </w:rPr>
              <w:t>9</w:t>
            </w:r>
            <w:r w:rsidR="007B27C8" w:rsidRPr="00D20DF1">
              <w:rPr>
                <w:rFonts w:ascii="Times New Roman" w:eastAsia="Times New Roman" w:hAnsi="Times New Roman"/>
                <w:bCs/>
                <w:sz w:val="24"/>
                <w:szCs w:val="24"/>
                <w:lang w:val="nl-NL"/>
              </w:rPr>
              <w:t>/202</w:t>
            </w:r>
            <w:r w:rsidR="00E67E98" w:rsidRPr="00D20DF1">
              <w:rPr>
                <w:rFonts w:ascii="Times New Roman" w:eastAsia="Times New Roman" w:hAnsi="Times New Roman"/>
                <w:bCs/>
                <w:sz w:val="24"/>
                <w:szCs w:val="24"/>
                <w:lang w:val="nl-NL"/>
              </w:rPr>
              <w:t>3</w:t>
            </w:r>
          </w:p>
        </w:tc>
        <w:tc>
          <w:tcPr>
            <w:tcW w:w="1154" w:type="pct"/>
            <w:shd w:val="clear" w:color="auto" w:fill="auto"/>
            <w:vAlign w:val="center"/>
          </w:tcPr>
          <w:p w14:paraId="39144C33" w14:textId="2360AF62"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30/0</w:t>
            </w:r>
            <w:r w:rsidR="0059531B">
              <w:rPr>
                <w:rFonts w:ascii="Times New Roman" w:eastAsia="Times New Roman" w:hAnsi="Times New Roman"/>
                <w:bCs/>
                <w:sz w:val="24"/>
                <w:szCs w:val="24"/>
                <w:lang w:val="nl-NL"/>
              </w:rPr>
              <w:t>9</w:t>
            </w:r>
            <w:r w:rsidR="007B27C8" w:rsidRPr="00D20DF1">
              <w:rPr>
                <w:rFonts w:ascii="Times New Roman" w:eastAsia="Times New Roman" w:hAnsi="Times New Roman"/>
                <w:bCs/>
                <w:sz w:val="24"/>
                <w:szCs w:val="24"/>
                <w:lang w:val="nl-NL"/>
              </w:rPr>
              <w:t>/202</w:t>
            </w:r>
            <w:r w:rsidR="00E67E98" w:rsidRPr="00D20DF1">
              <w:rPr>
                <w:rFonts w:ascii="Times New Roman" w:eastAsia="Times New Roman" w:hAnsi="Times New Roman"/>
                <w:bCs/>
                <w:sz w:val="24"/>
                <w:szCs w:val="24"/>
                <w:lang w:val="nl-NL"/>
              </w:rPr>
              <w:t>2</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A83802" w:rsidRPr="00A90AB7" w14:paraId="252D09D8" w14:textId="77777777" w:rsidTr="00F75C5B">
        <w:tc>
          <w:tcPr>
            <w:tcW w:w="1777" w:type="pct"/>
            <w:shd w:val="clear" w:color="auto" w:fill="auto"/>
          </w:tcPr>
          <w:p w14:paraId="613FF24A" w14:textId="77777777" w:rsidR="00A83802" w:rsidRPr="00A90AB7" w:rsidRDefault="00A83802" w:rsidP="00A83802">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07ED5F17" w:rsidR="00A83802" w:rsidRPr="00F61CFC" w:rsidRDefault="00A83802" w:rsidP="00A83802">
            <w:pPr>
              <w:tabs>
                <w:tab w:val="left" w:pos="540"/>
              </w:tabs>
              <w:spacing w:before="120" w:after="0" w:line="240" w:lineRule="auto"/>
              <w:jc w:val="right"/>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 xml:space="preserve"> 157</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232</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849</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 xml:space="preserve">507 </w:t>
            </w:r>
          </w:p>
        </w:tc>
        <w:tc>
          <w:tcPr>
            <w:tcW w:w="1154" w:type="pct"/>
            <w:shd w:val="clear" w:color="auto" w:fill="auto"/>
          </w:tcPr>
          <w:p w14:paraId="22F1937F" w14:textId="3F2BD670" w:rsidR="00A83802" w:rsidRPr="00F61CFC" w:rsidRDefault="00A83802" w:rsidP="00A83802">
            <w:pPr>
              <w:tabs>
                <w:tab w:val="left" w:pos="540"/>
              </w:tabs>
              <w:spacing w:before="120" w:after="0" w:line="240" w:lineRule="auto"/>
              <w:jc w:val="right"/>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 xml:space="preserve"> 137</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898</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 xml:space="preserve">272 </w:t>
            </w:r>
          </w:p>
        </w:tc>
        <w:tc>
          <w:tcPr>
            <w:tcW w:w="961" w:type="pct"/>
            <w:shd w:val="clear" w:color="auto" w:fill="auto"/>
          </w:tcPr>
          <w:p w14:paraId="28B43A4B" w14:textId="68B2A834" w:rsidR="00A83802" w:rsidRPr="00F61CFC" w:rsidRDefault="00A83802" w:rsidP="00A83802">
            <w:pPr>
              <w:tabs>
                <w:tab w:val="left" w:pos="540"/>
              </w:tabs>
              <w:spacing w:before="120" w:after="0" w:line="240" w:lineRule="auto"/>
              <w:jc w:val="right"/>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14</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02</w:t>
            </w:r>
          </w:p>
        </w:tc>
      </w:tr>
      <w:tr w:rsidR="00A83802" w:rsidRPr="001330FC" w14:paraId="06B82A64" w14:textId="77777777" w:rsidTr="00F75C5B">
        <w:tc>
          <w:tcPr>
            <w:tcW w:w="1777" w:type="pct"/>
            <w:shd w:val="clear" w:color="auto" w:fill="auto"/>
          </w:tcPr>
          <w:p w14:paraId="4BDF5898" w14:textId="77777777" w:rsidR="00A83802" w:rsidRPr="001330FC" w:rsidRDefault="00A83802" w:rsidP="00A83802">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1309F83F" w:rsidR="00A83802" w:rsidRPr="001330FC" w:rsidRDefault="00A83802" w:rsidP="00A83802">
            <w:pPr>
              <w:tabs>
                <w:tab w:val="left" w:pos="540"/>
              </w:tabs>
              <w:spacing w:before="120" w:after="0" w:line="240" w:lineRule="auto"/>
              <w:jc w:val="right"/>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057</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 xml:space="preserve">12   </w:t>
            </w:r>
          </w:p>
        </w:tc>
        <w:tc>
          <w:tcPr>
            <w:tcW w:w="1154" w:type="pct"/>
            <w:shd w:val="clear" w:color="auto" w:fill="auto"/>
          </w:tcPr>
          <w:p w14:paraId="5DFB947A" w14:textId="62F15F99" w:rsidR="00A83802" w:rsidRPr="001330FC" w:rsidRDefault="00A83802" w:rsidP="00A83802">
            <w:pPr>
              <w:tabs>
                <w:tab w:val="left" w:pos="540"/>
              </w:tabs>
              <w:spacing w:before="120" w:after="0" w:line="240" w:lineRule="auto"/>
              <w:jc w:val="right"/>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168</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 xml:space="preserve">95   </w:t>
            </w:r>
          </w:p>
        </w:tc>
        <w:tc>
          <w:tcPr>
            <w:tcW w:w="961" w:type="pct"/>
            <w:shd w:val="clear" w:color="auto" w:fill="auto"/>
          </w:tcPr>
          <w:p w14:paraId="177BE2CA" w14:textId="76621BAD" w:rsidR="00A83802" w:rsidRPr="001330FC" w:rsidRDefault="00A83802" w:rsidP="00A83802">
            <w:pPr>
              <w:tabs>
                <w:tab w:val="left" w:pos="540"/>
              </w:tabs>
              <w:spacing w:before="120" w:after="0" w:line="240" w:lineRule="auto"/>
              <w:jc w:val="right"/>
              <w:rPr>
                <w:rFonts w:ascii="Times New Roman" w:eastAsia="Times New Roman" w:hAnsi="Times New Roman"/>
                <w:sz w:val="24"/>
                <w:szCs w:val="24"/>
                <w:lang w:val="nl-NL"/>
              </w:rPr>
            </w:pPr>
            <w:r w:rsidRPr="00A83802">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A83802">
              <w:rPr>
                <w:rFonts w:ascii="Times New Roman" w:eastAsia="Times New Roman" w:hAnsi="Times New Roman"/>
                <w:sz w:val="24"/>
                <w:szCs w:val="24"/>
                <w:lang w:val="nl-NL"/>
              </w:rPr>
              <w:t>74</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677E3">
        <w:rPr>
          <w:rFonts w:ascii="Times New Roman" w:hAnsi="Times New Roman"/>
          <w:b/>
          <w:sz w:val="24"/>
          <w:szCs w:val="24"/>
          <w:lang w:val="nl-NL"/>
        </w:rPr>
        <w:t xml:space="preserve">4.2. Thống kê về Nhà đầu tư nắm giữ Chứng chỉ </w:t>
      </w:r>
      <w:r w:rsidR="008F2B2D" w:rsidRPr="004677E3">
        <w:rPr>
          <w:rFonts w:ascii="Times New Roman" w:hAnsi="Times New Roman"/>
          <w:b/>
          <w:sz w:val="24"/>
          <w:szCs w:val="24"/>
          <w:lang w:val="nl-NL"/>
        </w:rPr>
        <w:t>Q</w:t>
      </w:r>
      <w:r w:rsidRPr="004677E3">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181336" w:rsidRPr="00A90AB7" w14:paraId="5AC8833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4CBFFAB" w:rsidR="00181336" w:rsidRPr="00A90AB7" w:rsidRDefault="00181336" w:rsidP="001813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79C0A1E0" w:rsidR="00181336" w:rsidRPr="00C02674" w:rsidRDefault="00181336" w:rsidP="00181336">
            <w:pPr>
              <w:spacing w:after="0" w:line="240" w:lineRule="auto"/>
              <w:jc w:val="right"/>
              <w:rPr>
                <w:rFonts w:ascii="Times New Roman" w:hAnsi="Times New Roman"/>
                <w:sz w:val="24"/>
                <w:szCs w:val="24"/>
              </w:rPr>
            </w:pPr>
            <w:r>
              <w:rPr>
                <w:rFonts w:ascii="Times New Roman" w:hAnsi="Times New Roman"/>
                <w:sz w:val="24"/>
                <w:szCs w:val="24"/>
              </w:rPr>
              <w:t>1.</w:t>
            </w:r>
            <w:r w:rsidRPr="00181336">
              <w:rPr>
                <w:rFonts w:ascii="Times New Roman" w:hAnsi="Times New Roman"/>
                <w:sz w:val="24"/>
                <w:szCs w:val="24"/>
              </w:rPr>
              <w:t>360</w:t>
            </w:r>
          </w:p>
        </w:tc>
        <w:tc>
          <w:tcPr>
            <w:tcW w:w="2692" w:type="dxa"/>
            <w:tcBorders>
              <w:top w:val="nil"/>
              <w:left w:val="nil"/>
              <w:bottom w:val="single" w:sz="8" w:space="0" w:color="auto"/>
              <w:right w:val="single" w:sz="8" w:space="0" w:color="auto"/>
            </w:tcBorders>
            <w:shd w:val="clear" w:color="auto" w:fill="auto"/>
          </w:tcPr>
          <w:p w14:paraId="0EBE36E9" w14:textId="44A3B249"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 xml:space="preserve"> 1</w:t>
            </w:r>
            <w:r>
              <w:rPr>
                <w:rFonts w:ascii="Times New Roman" w:hAnsi="Times New Roman"/>
                <w:sz w:val="24"/>
                <w:szCs w:val="24"/>
              </w:rPr>
              <w:t>.</w:t>
            </w:r>
            <w:r w:rsidRPr="00181336">
              <w:rPr>
                <w:rFonts w:ascii="Times New Roman" w:hAnsi="Times New Roman"/>
                <w:sz w:val="24"/>
                <w:szCs w:val="24"/>
              </w:rPr>
              <w:t>245</w:t>
            </w:r>
            <w:r>
              <w:rPr>
                <w:rFonts w:ascii="Times New Roman" w:hAnsi="Times New Roman"/>
                <w:sz w:val="24"/>
                <w:szCs w:val="24"/>
              </w:rPr>
              <w:t>.</w:t>
            </w:r>
            <w:r w:rsidRPr="00181336">
              <w:rPr>
                <w:rFonts w:ascii="Times New Roman" w:hAnsi="Times New Roman"/>
                <w:sz w:val="24"/>
                <w:szCs w:val="24"/>
              </w:rPr>
              <w:t>794</w:t>
            </w:r>
            <w:r>
              <w:rPr>
                <w:rFonts w:ascii="Times New Roman" w:hAnsi="Times New Roman"/>
                <w:sz w:val="24"/>
                <w:szCs w:val="24"/>
              </w:rPr>
              <w:t>,</w:t>
            </w:r>
            <w:r w:rsidRPr="00181336">
              <w:rPr>
                <w:rFonts w:ascii="Times New Roman" w:hAnsi="Times New Roman"/>
                <w:sz w:val="24"/>
                <w:szCs w:val="24"/>
              </w:rPr>
              <w:t xml:space="preserve">08   </w:t>
            </w:r>
          </w:p>
        </w:tc>
        <w:tc>
          <w:tcPr>
            <w:tcW w:w="1696" w:type="dxa"/>
            <w:tcBorders>
              <w:top w:val="nil"/>
              <w:left w:val="nil"/>
              <w:bottom w:val="single" w:sz="8" w:space="0" w:color="auto"/>
              <w:right w:val="single" w:sz="8" w:space="0" w:color="auto"/>
            </w:tcBorders>
            <w:shd w:val="clear" w:color="auto" w:fill="auto"/>
          </w:tcPr>
          <w:p w14:paraId="324D4E7B" w14:textId="4A4065E0"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11</w:t>
            </w:r>
            <w:r>
              <w:rPr>
                <w:rFonts w:ascii="Times New Roman" w:hAnsi="Times New Roman"/>
                <w:sz w:val="24"/>
                <w:szCs w:val="24"/>
              </w:rPr>
              <w:t>,</w:t>
            </w:r>
            <w:r w:rsidRPr="00181336">
              <w:rPr>
                <w:rFonts w:ascii="Times New Roman" w:hAnsi="Times New Roman"/>
                <w:sz w:val="24"/>
                <w:szCs w:val="24"/>
              </w:rPr>
              <w:t>14</w:t>
            </w:r>
          </w:p>
        </w:tc>
      </w:tr>
      <w:tr w:rsidR="00181336" w:rsidRPr="00A90AB7" w14:paraId="112DFD1E"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1614F4E7" w:rsidR="00181336" w:rsidRPr="00A90AB7" w:rsidRDefault="00181336" w:rsidP="001813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40558E19"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103</w:t>
            </w:r>
          </w:p>
        </w:tc>
        <w:tc>
          <w:tcPr>
            <w:tcW w:w="2692" w:type="dxa"/>
            <w:tcBorders>
              <w:top w:val="nil"/>
              <w:left w:val="nil"/>
              <w:bottom w:val="single" w:sz="8" w:space="0" w:color="auto"/>
              <w:right w:val="single" w:sz="8" w:space="0" w:color="auto"/>
            </w:tcBorders>
            <w:shd w:val="clear" w:color="auto" w:fill="auto"/>
          </w:tcPr>
          <w:p w14:paraId="17E0FA6A" w14:textId="4CF47334"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 xml:space="preserve"> 729</w:t>
            </w:r>
            <w:r>
              <w:rPr>
                <w:rFonts w:ascii="Times New Roman" w:hAnsi="Times New Roman"/>
                <w:sz w:val="24"/>
                <w:szCs w:val="24"/>
              </w:rPr>
              <w:t>.</w:t>
            </w:r>
            <w:r w:rsidRPr="00181336">
              <w:rPr>
                <w:rFonts w:ascii="Times New Roman" w:hAnsi="Times New Roman"/>
                <w:sz w:val="24"/>
                <w:szCs w:val="24"/>
              </w:rPr>
              <w:t>975</w:t>
            </w:r>
            <w:r>
              <w:rPr>
                <w:rFonts w:ascii="Times New Roman" w:hAnsi="Times New Roman"/>
                <w:sz w:val="24"/>
                <w:szCs w:val="24"/>
              </w:rPr>
              <w:t>,</w:t>
            </w:r>
            <w:r w:rsidRPr="00181336">
              <w:rPr>
                <w:rFonts w:ascii="Times New Roman" w:hAnsi="Times New Roman"/>
                <w:sz w:val="24"/>
                <w:szCs w:val="24"/>
              </w:rPr>
              <w:t xml:space="preserve">87   </w:t>
            </w:r>
          </w:p>
        </w:tc>
        <w:tc>
          <w:tcPr>
            <w:tcW w:w="1696" w:type="dxa"/>
            <w:tcBorders>
              <w:top w:val="nil"/>
              <w:left w:val="nil"/>
              <w:bottom w:val="single" w:sz="8" w:space="0" w:color="auto"/>
              <w:right w:val="single" w:sz="8" w:space="0" w:color="auto"/>
            </w:tcBorders>
            <w:shd w:val="clear" w:color="auto" w:fill="auto"/>
          </w:tcPr>
          <w:p w14:paraId="2CF369C9" w14:textId="4CD95FE3"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6</w:t>
            </w:r>
            <w:r>
              <w:rPr>
                <w:rFonts w:ascii="Times New Roman" w:hAnsi="Times New Roman"/>
                <w:sz w:val="24"/>
                <w:szCs w:val="24"/>
              </w:rPr>
              <w:t>,</w:t>
            </w:r>
            <w:r w:rsidRPr="00181336">
              <w:rPr>
                <w:rFonts w:ascii="Times New Roman" w:hAnsi="Times New Roman"/>
                <w:sz w:val="24"/>
                <w:szCs w:val="24"/>
              </w:rPr>
              <w:t>53</w:t>
            </w:r>
          </w:p>
        </w:tc>
      </w:tr>
      <w:tr w:rsidR="00181336" w:rsidRPr="00A90AB7" w14:paraId="33F2F3B6"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8E5B935" w:rsidR="00181336" w:rsidRPr="00A90AB7" w:rsidRDefault="00181336" w:rsidP="001813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2FD5F8AA"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77</w:t>
            </w:r>
          </w:p>
        </w:tc>
        <w:tc>
          <w:tcPr>
            <w:tcW w:w="2692" w:type="dxa"/>
            <w:tcBorders>
              <w:top w:val="nil"/>
              <w:left w:val="nil"/>
              <w:bottom w:val="single" w:sz="8" w:space="0" w:color="auto"/>
              <w:right w:val="single" w:sz="8" w:space="0" w:color="auto"/>
            </w:tcBorders>
            <w:shd w:val="clear" w:color="auto" w:fill="auto"/>
          </w:tcPr>
          <w:p w14:paraId="7E76C849" w14:textId="66D6DC64"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 xml:space="preserve"> 1</w:t>
            </w:r>
            <w:r>
              <w:rPr>
                <w:rFonts w:ascii="Times New Roman" w:hAnsi="Times New Roman"/>
                <w:sz w:val="24"/>
                <w:szCs w:val="24"/>
              </w:rPr>
              <w:t>.</w:t>
            </w:r>
            <w:r w:rsidRPr="00181336">
              <w:rPr>
                <w:rFonts w:ascii="Times New Roman" w:hAnsi="Times New Roman"/>
                <w:sz w:val="24"/>
                <w:szCs w:val="24"/>
              </w:rPr>
              <w:t>401</w:t>
            </w:r>
            <w:r>
              <w:rPr>
                <w:rFonts w:ascii="Times New Roman" w:hAnsi="Times New Roman"/>
                <w:sz w:val="24"/>
                <w:szCs w:val="24"/>
              </w:rPr>
              <w:t>.</w:t>
            </w:r>
            <w:r w:rsidRPr="00181336">
              <w:rPr>
                <w:rFonts w:ascii="Times New Roman" w:hAnsi="Times New Roman"/>
                <w:sz w:val="24"/>
                <w:szCs w:val="24"/>
              </w:rPr>
              <w:t>782</w:t>
            </w:r>
            <w:r>
              <w:rPr>
                <w:rFonts w:ascii="Times New Roman" w:hAnsi="Times New Roman"/>
                <w:sz w:val="24"/>
                <w:szCs w:val="24"/>
              </w:rPr>
              <w:t>,</w:t>
            </w:r>
            <w:r w:rsidRPr="00181336">
              <w:rPr>
                <w:rFonts w:ascii="Times New Roman" w:hAnsi="Times New Roman"/>
                <w:sz w:val="24"/>
                <w:szCs w:val="24"/>
              </w:rPr>
              <w:t xml:space="preserve">86   </w:t>
            </w:r>
          </w:p>
        </w:tc>
        <w:tc>
          <w:tcPr>
            <w:tcW w:w="1696" w:type="dxa"/>
            <w:tcBorders>
              <w:top w:val="nil"/>
              <w:left w:val="nil"/>
              <w:bottom w:val="single" w:sz="8" w:space="0" w:color="auto"/>
              <w:right w:val="single" w:sz="8" w:space="0" w:color="auto"/>
            </w:tcBorders>
            <w:shd w:val="clear" w:color="auto" w:fill="auto"/>
          </w:tcPr>
          <w:p w14:paraId="2DEE8F0F" w14:textId="46DAA42E"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12</w:t>
            </w:r>
            <w:r>
              <w:rPr>
                <w:rFonts w:ascii="Times New Roman" w:hAnsi="Times New Roman"/>
                <w:sz w:val="24"/>
                <w:szCs w:val="24"/>
              </w:rPr>
              <w:t>,</w:t>
            </w:r>
            <w:r w:rsidRPr="00181336">
              <w:rPr>
                <w:rFonts w:ascii="Times New Roman" w:hAnsi="Times New Roman"/>
                <w:sz w:val="24"/>
                <w:szCs w:val="24"/>
              </w:rPr>
              <w:t>53</w:t>
            </w:r>
          </w:p>
        </w:tc>
      </w:tr>
      <w:tr w:rsidR="00181336" w:rsidRPr="00A90AB7" w14:paraId="53AAF433"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4DCE5437" w:rsidR="00181336" w:rsidRPr="00A90AB7" w:rsidRDefault="00181336" w:rsidP="001813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3421A2BF"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9</w:t>
            </w:r>
          </w:p>
        </w:tc>
        <w:tc>
          <w:tcPr>
            <w:tcW w:w="2692" w:type="dxa"/>
            <w:tcBorders>
              <w:top w:val="nil"/>
              <w:left w:val="nil"/>
              <w:bottom w:val="single" w:sz="8" w:space="0" w:color="auto"/>
              <w:right w:val="single" w:sz="8" w:space="0" w:color="auto"/>
            </w:tcBorders>
            <w:shd w:val="clear" w:color="auto" w:fill="auto"/>
          </w:tcPr>
          <w:p w14:paraId="1ABD868A" w14:textId="0819C49F"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 xml:space="preserve"> 807</w:t>
            </w:r>
            <w:r>
              <w:rPr>
                <w:rFonts w:ascii="Times New Roman" w:hAnsi="Times New Roman"/>
                <w:sz w:val="24"/>
                <w:szCs w:val="24"/>
              </w:rPr>
              <w:t>.</w:t>
            </w:r>
            <w:r w:rsidRPr="00181336">
              <w:rPr>
                <w:rFonts w:ascii="Times New Roman" w:hAnsi="Times New Roman"/>
                <w:sz w:val="24"/>
                <w:szCs w:val="24"/>
              </w:rPr>
              <w:t>725</w:t>
            </w:r>
            <w:r>
              <w:rPr>
                <w:rFonts w:ascii="Times New Roman" w:hAnsi="Times New Roman"/>
                <w:sz w:val="24"/>
                <w:szCs w:val="24"/>
              </w:rPr>
              <w:t>,</w:t>
            </w:r>
            <w:r w:rsidRPr="00181336">
              <w:rPr>
                <w:rFonts w:ascii="Times New Roman" w:hAnsi="Times New Roman"/>
                <w:sz w:val="24"/>
                <w:szCs w:val="24"/>
              </w:rPr>
              <w:t xml:space="preserve">34   </w:t>
            </w:r>
          </w:p>
        </w:tc>
        <w:tc>
          <w:tcPr>
            <w:tcW w:w="1696" w:type="dxa"/>
            <w:tcBorders>
              <w:top w:val="nil"/>
              <w:left w:val="nil"/>
              <w:bottom w:val="single" w:sz="8" w:space="0" w:color="auto"/>
              <w:right w:val="single" w:sz="8" w:space="0" w:color="auto"/>
            </w:tcBorders>
            <w:shd w:val="clear" w:color="auto" w:fill="auto"/>
          </w:tcPr>
          <w:p w14:paraId="73DF2C14" w14:textId="0B1BDC2F"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7</w:t>
            </w:r>
            <w:r>
              <w:rPr>
                <w:rFonts w:ascii="Times New Roman" w:hAnsi="Times New Roman"/>
                <w:sz w:val="24"/>
                <w:szCs w:val="24"/>
              </w:rPr>
              <w:t>,</w:t>
            </w:r>
            <w:r w:rsidRPr="00181336">
              <w:rPr>
                <w:rFonts w:ascii="Times New Roman" w:hAnsi="Times New Roman"/>
                <w:sz w:val="24"/>
                <w:szCs w:val="24"/>
              </w:rPr>
              <w:t>22</w:t>
            </w:r>
          </w:p>
        </w:tc>
      </w:tr>
      <w:tr w:rsidR="00181336" w:rsidRPr="00A90AB7" w14:paraId="656817C8"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D9F124B" w:rsidR="00181336" w:rsidRPr="00A90AB7" w:rsidRDefault="00181336" w:rsidP="001813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243D9A6B"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7E5FF580"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 xml:space="preserve"> 7</w:t>
            </w:r>
            <w:r>
              <w:rPr>
                <w:rFonts w:ascii="Times New Roman" w:hAnsi="Times New Roman"/>
                <w:sz w:val="24"/>
                <w:szCs w:val="24"/>
              </w:rPr>
              <w:t>.</w:t>
            </w:r>
            <w:r w:rsidRPr="00181336">
              <w:rPr>
                <w:rFonts w:ascii="Times New Roman" w:hAnsi="Times New Roman"/>
                <w:sz w:val="24"/>
                <w:szCs w:val="24"/>
              </w:rPr>
              <w:t>000</w:t>
            </w:r>
            <w:r>
              <w:rPr>
                <w:rFonts w:ascii="Times New Roman" w:hAnsi="Times New Roman"/>
                <w:sz w:val="24"/>
                <w:szCs w:val="24"/>
              </w:rPr>
              <w:t>.</w:t>
            </w:r>
            <w:r w:rsidRPr="00181336">
              <w:rPr>
                <w:rFonts w:ascii="Times New Roman" w:hAnsi="Times New Roman"/>
                <w:sz w:val="24"/>
                <w:szCs w:val="24"/>
              </w:rPr>
              <w:t>000</w:t>
            </w:r>
            <w:r>
              <w:rPr>
                <w:rFonts w:ascii="Times New Roman" w:hAnsi="Times New Roman"/>
                <w:sz w:val="24"/>
                <w:szCs w:val="24"/>
              </w:rPr>
              <w:t>,</w:t>
            </w:r>
            <w:r w:rsidRPr="00181336">
              <w:rPr>
                <w:rFonts w:ascii="Times New Roman" w:hAnsi="Times New Roman"/>
                <w:sz w:val="24"/>
                <w:szCs w:val="24"/>
              </w:rPr>
              <w:t xml:space="preserve">00   </w:t>
            </w:r>
          </w:p>
        </w:tc>
        <w:tc>
          <w:tcPr>
            <w:tcW w:w="1696" w:type="dxa"/>
            <w:tcBorders>
              <w:top w:val="nil"/>
              <w:left w:val="nil"/>
              <w:bottom w:val="single" w:sz="8" w:space="0" w:color="auto"/>
              <w:right w:val="single" w:sz="8" w:space="0" w:color="auto"/>
            </w:tcBorders>
            <w:shd w:val="clear" w:color="auto" w:fill="auto"/>
          </w:tcPr>
          <w:p w14:paraId="28BFE95B" w14:textId="42C7EEAB" w:rsidR="00181336" w:rsidRPr="00C02674" w:rsidRDefault="00181336" w:rsidP="00181336">
            <w:pPr>
              <w:spacing w:after="0" w:line="240" w:lineRule="auto"/>
              <w:jc w:val="right"/>
              <w:rPr>
                <w:rFonts w:ascii="Times New Roman" w:hAnsi="Times New Roman"/>
                <w:sz w:val="24"/>
                <w:szCs w:val="24"/>
              </w:rPr>
            </w:pPr>
            <w:r w:rsidRPr="00181336">
              <w:rPr>
                <w:rFonts w:ascii="Times New Roman" w:hAnsi="Times New Roman"/>
                <w:sz w:val="24"/>
                <w:szCs w:val="24"/>
              </w:rPr>
              <w:t>62</w:t>
            </w:r>
            <w:r>
              <w:rPr>
                <w:rFonts w:ascii="Times New Roman" w:hAnsi="Times New Roman"/>
                <w:sz w:val="24"/>
                <w:szCs w:val="24"/>
              </w:rPr>
              <w:t>,</w:t>
            </w:r>
            <w:r w:rsidRPr="00181336">
              <w:rPr>
                <w:rFonts w:ascii="Times New Roman" w:hAnsi="Times New Roman"/>
                <w:sz w:val="24"/>
                <w:szCs w:val="24"/>
              </w:rPr>
              <w:t>58</w:t>
            </w:r>
          </w:p>
        </w:tc>
      </w:tr>
      <w:tr w:rsidR="00181336" w:rsidRPr="00A90AB7" w14:paraId="7A11D66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181336" w:rsidRPr="00A90AB7" w:rsidRDefault="00181336" w:rsidP="00181336">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50A45167" w:rsidR="00181336" w:rsidRPr="00181336" w:rsidRDefault="00181336" w:rsidP="00181336">
            <w:pPr>
              <w:spacing w:after="0" w:line="240" w:lineRule="auto"/>
              <w:jc w:val="right"/>
              <w:rPr>
                <w:rFonts w:ascii="Times New Roman" w:hAnsi="Times New Roman"/>
                <w:b/>
                <w:bCs/>
                <w:sz w:val="24"/>
                <w:szCs w:val="24"/>
              </w:rPr>
            </w:pPr>
            <w:r w:rsidRPr="00181336">
              <w:rPr>
                <w:rFonts w:ascii="Times New Roman" w:hAnsi="Times New Roman"/>
                <w:b/>
                <w:bCs/>
                <w:sz w:val="24"/>
                <w:szCs w:val="24"/>
              </w:rPr>
              <w:t>1.550</w:t>
            </w:r>
          </w:p>
        </w:tc>
        <w:tc>
          <w:tcPr>
            <w:tcW w:w="2692" w:type="dxa"/>
            <w:tcBorders>
              <w:top w:val="nil"/>
              <w:left w:val="nil"/>
              <w:bottom w:val="single" w:sz="8" w:space="0" w:color="auto"/>
              <w:right w:val="single" w:sz="8" w:space="0" w:color="auto"/>
            </w:tcBorders>
            <w:shd w:val="clear" w:color="auto" w:fill="auto"/>
          </w:tcPr>
          <w:p w14:paraId="270549B9" w14:textId="0D1DB4E6" w:rsidR="00181336" w:rsidRPr="00181336" w:rsidRDefault="00181336" w:rsidP="00181336">
            <w:pPr>
              <w:spacing w:after="0" w:line="240" w:lineRule="auto"/>
              <w:jc w:val="right"/>
              <w:rPr>
                <w:rFonts w:ascii="Times New Roman" w:hAnsi="Times New Roman"/>
                <w:b/>
                <w:bCs/>
                <w:sz w:val="24"/>
                <w:szCs w:val="24"/>
              </w:rPr>
            </w:pPr>
            <w:r w:rsidRPr="00181336">
              <w:rPr>
                <w:rFonts w:ascii="Times New Roman" w:hAnsi="Times New Roman"/>
                <w:b/>
                <w:bCs/>
                <w:sz w:val="24"/>
                <w:szCs w:val="24"/>
              </w:rPr>
              <w:t xml:space="preserve"> 11.185.278,15   </w:t>
            </w:r>
          </w:p>
        </w:tc>
        <w:tc>
          <w:tcPr>
            <w:tcW w:w="1696" w:type="dxa"/>
            <w:tcBorders>
              <w:top w:val="nil"/>
              <w:left w:val="nil"/>
              <w:bottom w:val="single" w:sz="8" w:space="0" w:color="auto"/>
              <w:right w:val="single" w:sz="8" w:space="0" w:color="auto"/>
            </w:tcBorders>
            <w:shd w:val="clear" w:color="auto" w:fill="auto"/>
          </w:tcPr>
          <w:p w14:paraId="10E9F2BC" w14:textId="46F51232" w:rsidR="00181336" w:rsidRPr="00181336" w:rsidRDefault="00181336" w:rsidP="00181336">
            <w:pPr>
              <w:spacing w:after="0" w:line="240" w:lineRule="auto"/>
              <w:jc w:val="right"/>
              <w:rPr>
                <w:rFonts w:ascii="Times New Roman" w:hAnsi="Times New Roman"/>
                <w:b/>
                <w:bCs/>
                <w:sz w:val="24"/>
                <w:szCs w:val="24"/>
              </w:rPr>
            </w:pPr>
            <w:r w:rsidRPr="00181336">
              <w:rPr>
                <w:rFonts w:ascii="Times New Roman" w:hAnsi="Times New Roman"/>
                <w:b/>
                <w:bCs/>
                <w:sz w:val="24"/>
                <w:szCs w:val="24"/>
              </w:rPr>
              <w:t>100,00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677E3">
        <w:rPr>
          <w:rFonts w:ascii="Times New Roman" w:hAnsi="Times New Roman"/>
          <w:b/>
          <w:sz w:val="24"/>
          <w:szCs w:val="24"/>
          <w:lang w:val="nl-NL"/>
        </w:rPr>
        <w:t>5</w:t>
      </w:r>
      <w:r w:rsidR="00BE6F63" w:rsidRPr="004677E3">
        <w:rPr>
          <w:rFonts w:ascii="Times New Roman" w:hAnsi="Times New Roman"/>
          <w:b/>
          <w:sz w:val="24"/>
          <w:szCs w:val="24"/>
          <w:lang w:val="nl-NL"/>
        </w:rPr>
        <w:t>. Thông tin về triển vọng thị trường</w:t>
      </w:r>
    </w:p>
    <w:p w14:paraId="3B3E525F" w14:textId="77777777" w:rsidR="006871BD" w:rsidRPr="006A39DF" w:rsidRDefault="006871BD" w:rsidP="006871BD">
      <w:pPr>
        <w:shd w:val="clear" w:color="auto" w:fill="FFFFFF"/>
        <w:tabs>
          <w:tab w:val="left" w:pos="540"/>
        </w:tabs>
        <w:spacing w:before="120" w:after="0" w:line="240" w:lineRule="auto"/>
        <w:jc w:val="both"/>
        <w:rPr>
          <w:rFonts w:ascii="Times New Roman" w:hAnsi="Times New Roman"/>
          <w:sz w:val="24"/>
          <w:szCs w:val="24"/>
        </w:rPr>
      </w:pPr>
      <w:proofErr w:type="spellStart"/>
      <w:r w:rsidRPr="006A39DF">
        <w:rPr>
          <w:rFonts w:ascii="Times New Roman" w:hAnsi="Times New Roman"/>
          <w:sz w:val="24"/>
          <w:szCs w:val="24"/>
        </w:rPr>
        <w:lastRenderedPageBreak/>
        <w:t>Biểu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dưới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thể</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hiện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diễn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biến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chỉ</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số</w:t>
      </w:r>
      <w:proofErr w:type="spellEnd"/>
      <w:r w:rsidRPr="006A39DF">
        <w:rPr>
          <w:rFonts w:ascii="Times New Roman" w:hAnsi="Times New Roman"/>
          <w:sz w:val="24"/>
          <w:szCs w:val="24"/>
        </w:rPr>
        <w:t xml:space="preserve"> VN-index (</w:t>
      </w:r>
      <w:proofErr w:type="spellStart"/>
      <w:r w:rsidRPr="006A39DF">
        <w:rPr>
          <w:rFonts w:ascii="Times New Roman" w:hAnsi="Times New Roman"/>
          <w:sz w:val="24"/>
          <w:szCs w:val="24"/>
        </w:rPr>
        <w:t>dây</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xanh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phải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và</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giá</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giao</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dịch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cột</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đỏ</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trái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đơn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tỷ</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đồng</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ngày</w:t>
      </w:r>
      <w:proofErr w:type="spellEnd"/>
      <w:r w:rsidRPr="006A39DF">
        <w:rPr>
          <w:rFonts w:ascii="Times New Roman" w:hAnsi="Times New Roman"/>
          <w:sz w:val="24"/>
          <w:szCs w:val="24"/>
        </w:rPr>
        <w:t>)</w:t>
      </w:r>
    </w:p>
    <w:p w14:paraId="60EAD064" w14:textId="77777777" w:rsidR="006871BD" w:rsidRPr="006A39DF" w:rsidRDefault="006871BD" w:rsidP="006871BD">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11802F83" wp14:editId="7DAB6F2E">
            <wp:extent cx="6004241" cy="3608615"/>
            <wp:effectExtent l="0" t="0" r="0" b="0"/>
            <wp:docPr id="26855247"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5247" name="Picture 1" descr="A graph of a graph&#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0215" cy="3642256"/>
                    </a:xfrm>
                    <a:prstGeom prst="rect">
                      <a:avLst/>
                    </a:prstGeom>
                    <a:noFill/>
                  </pic:spPr>
                </pic:pic>
              </a:graphicData>
            </a:graphic>
          </wp:inline>
        </w:drawing>
      </w:r>
    </w:p>
    <w:p w14:paraId="2B4969EA" w14:textId="276D10D6" w:rsidR="006871BD" w:rsidRPr="00463E77" w:rsidRDefault="006871BD" w:rsidP="006871BD">
      <w:pPr>
        <w:shd w:val="clear" w:color="auto" w:fill="FFFFFF"/>
        <w:tabs>
          <w:tab w:val="left" w:pos="540"/>
        </w:tabs>
        <w:spacing w:before="120" w:after="0" w:line="240" w:lineRule="auto"/>
        <w:jc w:val="both"/>
        <w:rPr>
          <w:rFonts w:ascii="Times New Roman" w:hAnsi="Times New Roman"/>
          <w:sz w:val="24"/>
          <w:szCs w:val="24"/>
        </w:rPr>
      </w:pPr>
      <w:r w:rsidRPr="00463E77">
        <w:rPr>
          <w:rFonts w:ascii="Times New Roman" w:hAnsi="Times New Roman"/>
          <w:sz w:val="24"/>
          <w:szCs w:val="24"/>
        </w:rPr>
        <w:t xml:space="preserve">Thị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quý</w:t>
      </w:r>
      <w:proofErr w:type="spellEnd"/>
      <w:r w:rsidRPr="00463E77">
        <w:rPr>
          <w:rFonts w:ascii="Times New Roman" w:hAnsi="Times New Roman"/>
          <w:sz w:val="24"/>
          <w:szCs w:val="24"/>
        </w:rPr>
        <w:t xml:space="preserve"> </w:t>
      </w:r>
      <w:r>
        <w:rPr>
          <w:rFonts w:ascii="Times New Roman" w:hAnsi="Times New Roman"/>
          <w:sz w:val="24"/>
          <w:szCs w:val="24"/>
        </w:rPr>
        <w:t>3</w:t>
      </w:r>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nhẹ</w:t>
      </w:r>
      <w:proofErr w:type="spellEnd"/>
      <w:r w:rsidRPr="00463E77">
        <w:rPr>
          <w:rFonts w:ascii="Times New Roman" w:hAnsi="Times New Roman"/>
          <w:sz w:val="24"/>
          <w:szCs w:val="24"/>
        </w:rPr>
        <w:t xml:space="preserve"> 3%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cuối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quý</w:t>
      </w:r>
      <w:proofErr w:type="spellEnd"/>
      <w:r w:rsidRPr="00463E77">
        <w:rPr>
          <w:rFonts w:ascii="Times New Roman" w:hAnsi="Times New Roman"/>
          <w:sz w:val="24"/>
          <w:szCs w:val="24"/>
        </w:rPr>
        <w:t xml:space="preserve"> </w:t>
      </w:r>
      <w:r>
        <w:rPr>
          <w:rFonts w:ascii="Times New Roman" w:hAnsi="Times New Roman"/>
          <w:sz w:val="24"/>
          <w:szCs w:val="24"/>
        </w:rPr>
        <w:t>2</w:t>
      </w:r>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14,6%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lúc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hơn</w:t>
      </w:r>
      <w:proofErr w:type="spellEnd"/>
      <w:r w:rsidRPr="00463E77">
        <w:rPr>
          <w:rFonts w:ascii="Times New Roman" w:hAnsi="Times New Roman"/>
          <w:sz w:val="24"/>
          <w:szCs w:val="24"/>
        </w:rPr>
        <w:t xml:space="preserve"> 11%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cuối</w:t>
      </w:r>
      <w:proofErr w:type="spellEnd"/>
      <w:r w:rsidRPr="00463E77">
        <w:rPr>
          <w:rFonts w:ascii="Times New Roman" w:hAnsi="Times New Roman"/>
          <w:sz w:val="24"/>
          <w:szCs w:val="24"/>
        </w:rPr>
        <w:t xml:space="preserve"> Quý II,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này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phản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tâm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phân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vân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trước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rủi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hội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từ</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nửa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cuối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2024. Do </w:t>
      </w:r>
      <w:proofErr w:type="spellStart"/>
      <w:r w:rsidRPr="00463E77">
        <w:rPr>
          <w:rFonts w:ascii="Times New Roman" w:hAnsi="Times New Roman"/>
          <w:sz w:val="24"/>
          <w:szCs w:val="24"/>
        </w:rPr>
        <w:t>đó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giảm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đan</w:t>
      </w:r>
      <w:proofErr w:type="spellEnd"/>
      <w:r w:rsidRPr="00463E77">
        <w:rPr>
          <w:rFonts w:ascii="Times New Roman" w:hAnsi="Times New Roman"/>
          <w:sz w:val="24"/>
          <w:szCs w:val="24"/>
        </w:rPr>
        <w:t xml:space="preserve"> xen, xu </w:t>
      </w:r>
      <w:proofErr w:type="spellStart"/>
      <w:r w:rsidRPr="00463E77">
        <w:rPr>
          <w:rFonts w:ascii="Times New Roman" w:hAnsi="Times New Roman"/>
          <w:sz w:val="24"/>
          <w:szCs w:val="24"/>
        </w:rPr>
        <w:t>hướng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chưa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rõ</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ràng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số</w:t>
      </w:r>
      <w:proofErr w:type="spellEnd"/>
      <w:r w:rsidRPr="00463E77">
        <w:rPr>
          <w:rFonts w:ascii="Times New Roman" w:hAnsi="Times New Roman"/>
          <w:sz w:val="24"/>
          <w:szCs w:val="24"/>
        </w:rPr>
        <w:t xml:space="preserve"> VN-index </w:t>
      </w:r>
      <w:proofErr w:type="spellStart"/>
      <w:r w:rsidRPr="00463E77">
        <w:rPr>
          <w:rFonts w:ascii="Times New Roman" w:hAnsi="Times New Roman"/>
          <w:sz w:val="24"/>
          <w:szCs w:val="24"/>
        </w:rPr>
        <w:t>đóng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cửa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ngày</w:t>
      </w:r>
      <w:proofErr w:type="spellEnd"/>
      <w:r w:rsidRPr="00463E77">
        <w:rPr>
          <w:rFonts w:ascii="Times New Roman" w:hAnsi="Times New Roman"/>
          <w:sz w:val="24"/>
          <w:szCs w:val="24"/>
        </w:rPr>
        <w:t xml:space="preserve"> 29 </w:t>
      </w:r>
      <w:proofErr w:type="spellStart"/>
      <w:r w:rsidRPr="00463E77">
        <w:rPr>
          <w:rFonts w:ascii="Times New Roman" w:hAnsi="Times New Roman"/>
          <w:sz w:val="24"/>
          <w:szCs w:val="24"/>
        </w:rPr>
        <w:t>tháng</w:t>
      </w:r>
      <w:proofErr w:type="spellEnd"/>
      <w:r w:rsidRPr="00463E77">
        <w:rPr>
          <w:rFonts w:ascii="Times New Roman" w:hAnsi="Times New Roman"/>
          <w:sz w:val="24"/>
          <w:szCs w:val="24"/>
        </w:rPr>
        <w:t xml:space="preserve"> 09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đạt</w:t>
      </w:r>
      <w:proofErr w:type="spellEnd"/>
      <w:r w:rsidRPr="00463E77">
        <w:rPr>
          <w:rFonts w:ascii="Times New Roman" w:hAnsi="Times New Roman"/>
          <w:sz w:val="24"/>
          <w:szCs w:val="24"/>
        </w:rPr>
        <w:t xml:space="preserve"> 1.154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từ</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1.120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cuối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tháng</w:t>
      </w:r>
      <w:proofErr w:type="spellEnd"/>
      <w:r w:rsidRPr="00463E77">
        <w:rPr>
          <w:rFonts w:ascii="Times New Roman" w:hAnsi="Times New Roman"/>
          <w:sz w:val="24"/>
          <w:szCs w:val="24"/>
        </w:rPr>
        <w:t xml:space="preserve"> 6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Số</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liệu</w:t>
      </w:r>
      <w:proofErr w:type="spellEnd"/>
      <w:r w:rsidRPr="00463E77">
        <w:rPr>
          <w:rFonts w:ascii="Times New Roman" w:hAnsi="Times New Roman"/>
          <w:sz w:val="24"/>
          <w:szCs w:val="24"/>
        </w:rPr>
        <w:t xml:space="preserve"> HOSE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thấy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vốn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hóa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ngày</w:t>
      </w:r>
      <w:proofErr w:type="spellEnd"/>
      <w:r w:rsidRPr="00463E77">
        <w:rPr>
          <w:rFonts w:ascii="Times New Roman" w:hAnsi="Times New Roman"/>
          <w:sz w:val="24"/>
          <w:szCs w:val="24"/>
        </w:rPr>
        <w:t xml:space="preserve"> 30 </w:t>
      </w:r>
      <w:proofErr w:type="spellStart"/>
      <w:r w:rsidRPr="00463E77">
        <w:rPr>
          <w:rFonts w:ascii="Times New Roman" w:hAnsi="Times New Roman"/>
          <w:sz w:val="24"/>
          <w:szCs w:val="24"/>
        </w:rPr>
        <w:t>tháng</w:t>
      </w:r>
      <w:proofErr w:type="spellEnd"/>
      <w:r w:rsidRPr="00463E77">
        <w:rPr>
          <w:rFonts w:ascii="Times New Roman" w:hAnsi="Times New Roman"/>
          <w:sz w:val="24"/>
          <w:szCs w:val="24"/>
        </w:rPr>
        <w:t xml:space="preserve"> 06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là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hơn</w:t>
      </w:r>
      <w:proofErr w:type="spellEnd"/>
      <w:r w:rsidRPr="00463E77">
        <w:rPr>
          <w:rFonts w:ascii="Times New Roman" w:hAnsi="Times New Roman"/>
          <w:sz w:val="24"/>
          <w:szCs w:val="24"/>
        </w:rPr>
        <w:t xml:space="preserve"> 192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USD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gần</w:t>
      </w:r>
      <w:proofErr w:type="spellEnd"/>
      <w:r w:rsidRPr="00463E77">
        <w:rPr>
          <w:rFonts w:ascii="Times New Roman" w:hAnsi="Times New Roman"/>
          <w:sz w:val="24"/>
          <w:szCs w:val="24"/>
        </w:rPr>
        <w:t xml:space="preserve"> 188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USD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cuối</w:t>
      </w:r>
      <w:proofErr w:type="spellEnd"/>
      <w:r w:rsidRPr="00463E77">
        <w:rPr>
          <w:rFonts w:ascii="Times New Roman" w:hAnsi="Times New Roman"/>
          <w:sz w:val="24"/>
          <w:szCs w:val="24"/>
        </w:rPr>
        <w:t xml:space="preserve"> Quý </w:t>
      </w:r>
      <w:r>
        <w:rPr>
          <w:rFonts w:ascii="Times New Roman" w:hAnsi="Times New Roman"/>
          <w:sz w:val="24"/>
          <w:szCs w:val="24"/>
        </w:rPr>
        <w:t>2</w:t>
      </w:r>
      <w:r w:rsidRPr="00463E77">
        <w:rPr>
          <w:rFonts w:ascii="Times New Roman" w:hAnsi="Times New Roman"/>
          <w:sz w:val="24"/>
          <w:szCs w:val="24"/>
        </w:rPr>
        <w:t xml:space="preserve">. Điểm </w:t>
      </w:r>
      <w:proofErr w:type="spellStart"/>
      <w:r w:rsidRPr="00463E77">
        <w:rPr>
          <w:rFonts w:ascii="Times New Roman" w:hAnsi="Times New Roman"/>
          <w:sz w:val="24"/>
          <w:szCs w:val="24"/>
        </w:rPr>
        <w:t>tích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thanh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khoản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Quý III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rõ</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rệt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dịch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quân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 xml:space="preserve"> 21.300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đồng</w:t>
      </w:r>
      <w:proofErr w:type="spellEnd"/>
      <w:r w:rsidRPr="00463E77">
        <w:rPr>
          <w:rFonts w:ascii="Times New Roman" w:hAnsi="Times New Roman"/>
          <w:sz w:val="24"/>
          <w:szCs w:val="24"/>
        </w:rPr>
        <w:t>/</w:t>
      </w:r>
      <w:proofErr w:type="spellStart"/>
      <w:r w:rsidRPr="00463E77">
        <w:rPr>
          <w:rFonts w:ascii="Times New Roman" w:hAnsi="Times New Roman"/>
          <w:sz w:val="24"/>
          <w:szCs w:val="24"/>
        </w:rPr>
        <w:t>phiên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từ</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13.600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đồng</w:t>
      </w:r>
      <w:proofErr w:type="spellEnd"/>
      <w:r w:rsidRPr="00463E77">
        <w:rPr>
          <w:rFonts w:ascii="Times New Roman" w:hAnsi="Times New Roman"/>
          <w:sz w:val="24"/>
          <w:szCs w:val="24"/>
        </w:rPr>
        <w:t>/</w:t>
      </w:r>
      <w:proofErr w:type="spellStart"/>
      <w:r w:rsidRPr="00463E77">
        <w:rPr>
          <w:rFonts w:ascii="Times New Roman" w:hAnsi="Times New Roman"/>
          <w:sz w:val="24"/>
          <w:szCs w:val="24"/>
        </w:rPr>
        <w:t>phiên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Quý </w:t>
      </w:r>
      <w:r>
        <w:rPr>
          <w:rFonts w:ascii="Times New Roman" w:hAnsi="Times New Roman"/>
          <w:sz w:val="24"/>
          <w:szCs w:val="24"/>
        </w:rPr>
        <w:t>2</w:t>
      </w:r>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2023,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gần</w:t>
      </w:r>
      <w:proofErr w:type="spellEnd"/>
      <w:r w:rsidRPr="00463E77">
        <w:rPr>
          <w:rFonts w:ascii="Times New Roman" w:hAnsi="Times New Roman"/>
          <w:sz w:val="24"/>
          <w:szCs w:val="24"/>
        </w:rPr>
        <w:t xml:space="preserve"> 57%. </w:t>
      </w:r>
      <w:r w:rsidRPr="00463E77">
        <w:rPr>
          <w:rFonts w:ascii="Times New Roman" w:hAnsi="Times New Roman"/>
          <w:color w:val="FF0000"/>
          <w:sz w:val="24"/>
          <w:szCs w:val="24"/>
        </w:rPr>
        <w:t xml:space="preserve"> </w:t>
      </w:r>
    </w:p>
    <w:p w14:paraId="3A710AD4" w14:textId="77777777" w:rsidR="006871BD" w:rsidRPr="00463E77" w:rsidRDefault="006871BD" w:rsidP="006871BD">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463E77">
        <w:rPr>
          <w:rFonts w:ascii="Times New Roman" w:hAnsi="Times New Roman"/>
          <w:color w:val="000000" w:themeColor="text1"/>
          <w:sz w:val="24"/>
          <w:szCs w:val="24"/>
        </w:rPr>
        <w:t xml:space="preserve">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dự</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động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tăng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trưởng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hiệu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quả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thể</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thiện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kích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phủ</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triển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khai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2023.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tiền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tệ</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lỏng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hỗ</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khoản</w:t>
      </w:r>
      <w:proofErr w:type="spellEnd"/>
      <w:r w:rsidRPr="00463E77">
        <w:rPr>
          <w:rFonts w:ascii="Times New Roman" w:hAnsi="Times New Roman"/>
          <w:color w:val="000000" w:themeColor="text1"/>
          <w:sz w:val="24"/>
          <w:szCs w:val="24"/>
        </w:rPr>
        <w:t xml:space="preserve">. Các </w:t>
      </w:r>
      <w:proofErr w:type="spellStart"/>
      <w:r w:rsidRPr="00463E77">
        <w:rPr>
          <w:rFonts w:ascii="Times New Roman" w:hAnsi="Times New Roman"/>
          <w:color w:val="000000" w:themeColor="text1"/>
          <w:sz w:val="24"/>
          <w:szCs w:val="24"/>
        </w:rPr>
        <w:t>giải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pháp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làm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hóa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hướng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việc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nâng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chứng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khoán</w:t>
      </w:r>
      <w:proofErr w:type="spellEnd"/>
      <w:r w:rsidRPr="00463E77">
        <w:rPr>
          <w:rFonts w:ascii="Times New Roman" w:hAnsi="Times New Roman"/>
          <w:color w:val="000000" w:themeColor="text1"/>
          <w:sz w:val="24"/>
          <w:szCs w:val="24"/>
        </w:rPr>
        <w:t xml:space="preserve"> Việt Nam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vọng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w:t>
      </w:r>
      <w:proofErr w:type="spellEnd"/>
      <w:r w:rsidRPr="00463E77">
        <w:rPr>
          <w:rFonts w:ascii="Times New Roman" w:hAnsi="Times New Roman"/>
          <w:color w:val="000000" w:themeColor="text1"/>
          <w:sz w:val="24"/>
          <w:szCs w:val="24"/>
        </w:rPr>
        <w:t xml:space="preserve">. 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trước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còn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thiếu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hụt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hàng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xuất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khẩu</w:t>
      </w:r>
      <w:proofErr w:type="spellEnd"/>
      <w:r w:rsidRPr="00463E77">
        <w:rPr>
          <w:rFonts w:ascii="Times New Roman" w:hAnsi="Times New Roman"/>
          <w:color w:val="000000" w:themeColor="text1"/>
          <w:sz w:val="24"/>
          <w:szCs w:val="24"/>
        </w:rPr>
        <w:t xml:space="preserve"> do </w:t>
      </w:r>
      <w:proofErr w:type="spellStart"/>
      <w:r w:rsidRPr="00463E77">
        <w:rPr>
          <w:rFonts w:ascii="Times New Roman" w:hAnsi="Times New Roman"/>
          <w:color w:val="000000" w:themeColor="text1"/>
          <w:sz w:val="24"/>
          <w:szCs w:val="24"/>
        </w:rPr>
        <w:t>nhu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thế</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giới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hoặc</w:t>
      </w:r>
      <w:proofErr w:type="spellEnd"/>
      <w:r>
        <w:rPr>
          <w:rFonts w:ascii="Times New Roman" w:hAnsi="Times New Roman"/>
          <w:color w:val="000000" w:themeColor="text1"/>
          <w:sz w:val="24"/>
          <w:szCs w:val="24"/>
        </w:rPr>
        <w:t xml:space="preserve"> do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thay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đổi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bổ</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giữa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tiếp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cận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vốn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tín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dụng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chế</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các</w:t>
      </w:r>
      <w:proofErr w:type="spellEnd"/>
      <w:r w:rsidRPr="00463E77">
        <w:rPr>
          <w:rFonts w:ascii="Times New Roman" w:hAnsi="Times New Roman"/>
          <w:color w:val="000000" w:themeColor="text1"/>
          <w:sz w:val="24"/>
          <w:szCs w:val="24"/>
        </w:rPr>
        <w:t xml:space="preserve"> Ngân </w:t>
      </w:r>
      <w:proofErr w:type="spellStart"/>
      <w:r w:rsidRPr="00463E77">
        <w:rPr>
          <w:rFonts w:ascii="Times New Roman" w:hAnsi="Times New Roman"/>
          <w:color w:val="000000" w:themeColor="text1"/>
          <w:sz w:val="24"/>
          <w:szCs w:val="24"/>
        </w:rPr>
        <w:t>hàng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siết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chặt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các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kiện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cho</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vay</w:t>
      </w:r>
      <w:proofErr w:type="spellEnd"/>
      <w:r w:rsidRPr="00463E77">
        <w:rPr>
          <w:rFonts w:ascii="Times New Roman" w:hAnsi="Times New Roman"/>
          <w:color w:val="000000" w:themeColor="text1"/>
          <w:sz w:val="24"/>
          <w:szCs w:val="24"/>
        </w:rPr>
        <w:t xml:space="preserve">. </w:t>
      </w:r>
    </w:p>
    <w:p w14:paraId="1DB9322C" w14:textId="77777777" w:rsidR="006871BD" w:rsidRPr="00463E77" w:rsidRDefault="006871BD" w:rsidP="006871BD">
      <w:pPr>
        <w:shd w:val="clear" w:color="auto" w:fill="FFFFFF"/>
        <w:tabs>
          <w:tab w:val="left" w:pos="540"/>
        </w:tabs>
        <w:spacing w:before="120" w:after="0" w:line="240" w:lineRule="auto"/>
        <w:jc w:val="both"/>
        <w:rPr>
          <w:rFonts w:ascii="Times New Roman" w:hAnsi="Times New Roman"/>
          <w:sz w:val="24"/>
          <w:szCs w:val="24"/>
        </w:rPr>
      </w:pPr>
      <w:r w:rsidRPr="00463E77">
        <w:rPr>
          <w:rFonts w:ascii="Times New Roman" w:hAnsi="Times New Roman"/>
          <w:sz w:val="24"/>
          <w:szCs w:val="24"/>
        </w:rPr>
        <w:t xml:space="preserve">Trong </w:t>
      </w:r>
      <w:proofErr w:type="spellStart"/>
      <w:r w:rsidRPr="00463E77">
        <w:rPr>
          <w:rFonts w:ascii="Times New Roman" w:hAnsi="Times New Roman"/>
          <w:sz w:val="24"/>
          <w:szCs w:val="24"/>
        </w:rPr>
        <w:t>thực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luôn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xảy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cố</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mang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tính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chất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lâu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Những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bất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hoặc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để</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giúp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nghiệm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việc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vượt</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đoạn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lastRenderedPageBreak/>
        <w:t>khó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vậy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chúng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tôi</w:t>
      </w:r>
      <w:proofErr w:type="spellEnd"/>
      <w:r w:rsidRPr="00463E77">
        <w:rPr>
          <w:rFonts w:ascii="Times New Roman" w:hAnsi="Times New Roman"/>
          <w:sz w:val="24"/>
          <w:szCs w:val="24"/>
        </w:rPr>
        <w:t xml:space="preserve"> tin </w:t>
      </w:r>
      <w:proofErr w:type="spellStart"/>
      <w:r w:rsidRPr="00463E77">
        <w:rPr>
          <w:rFonts w:ascii="Times New Roman" w:hAnsi="Times New Roman"/>
          <w:sz w:val="24"/>
          <w:szCs w:val="24"/>
        </w:rPr>
        <w:t>rằng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giải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hợp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đây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nỗ</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đẩy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lùi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hoạt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đoạn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giữ</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hỗ</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trợ</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thanh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khoản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hệ</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thống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ngân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hàng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vv</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giúp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niềm</w:t>
      </w:r>
      <w:proofErr w:type="spellEnd"/>
      <w:r w:rsidRPr="00463E77">
        <w:rPr>
          <w:rFonts w:ascii="Times New Roman" w:hAnsi="Times New Roman"/>
          <w:sz w:val="24"/>
          <w:szCs w:val="24"/>
        </w:rPr>
        <w:t xml:space="preserve"> tin </w:t>
      </w:r>
      <w:proofErr w:type="spellStart"/>
      <w:r w:rsidRPr="00463E77">
        <w:rPr>
          <w:rFonts w:ascii="Times New Roman" w:hAnsi="Times New Roman"/>
          <w:sz w:val="24"/>
          <w:szCs w:val="24"/>
        </w:rPr>
        <w:t>của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trở</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cùng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vọng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tích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Các </w:t>
      </w:r>
      <w:proofErr w:type="spellStart"/>
      <w:r w:rsidRPr="00463E77">
        <w:rPr>
          <w:rFonts w:ascii="Times New Roman" w:hAnsi="Times New Roman"/>
          <w:sz w:val="24"/>
          <w:szCs w:val="24"/>
        </w:rPr>
        <w:t>tổ</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quốc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đồng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thuận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rằng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là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sáng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hiếm</w:t>
      </w:r>
      <w:proofErr w:type="spellEnd"/>
      <w:r w:rsidRPr="00463E77">
        <w:rPr>
          <w:rFonts w:ascii="Times New Roman" w:hAnsi="Times New Roman"/>
          <w:sz w:val="24"/>
          <w:szCs w:val="24"/>
        </w:rPr>
        <w:t xml:space="preserve"> hoi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cảnh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thoái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toàn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cầu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dự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báo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hồi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dần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theo.</w:t>
      </w:r>
      <w:proofErr w:type="spellEnd"/>
      <w:r w:rsidRPr="00463E77">
        <w:rPr>
          <w:rFonts w:ascii="Times New Roman" w:hAnsi="Times New Roman"/>
          <w:sz w:val="24"/>
          <w:szCs w:val="24"/>
        </w:rPr>
        <w:t xml:space="preserve"> Trong </w:t>
      </w:r>
      <w:proofErr w:type="spellStart"/>
      <w:r w:rsidRPr="00463E77">
        <w:rPr>
          <w:rFonts w:ascii="Times New Roman" w:hAnsi="Times New Roman"/>
          <w:sz w:val="24"/>
          <w:szCs w:val="24"/>
        </w:rPr>
        <w:t>trung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hạn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thị</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Chứng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khoán</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vẫn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sẽ</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nhiều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tiềm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khi</w:t>
      </w:r>
      <w:proofErr w:type="spellEnd"/>
      <w:r w:rsidRPr="00463E77">
        <w:rPr>
          <w:rFonts w:ascii="Times New Roman" w:hAnsi="Times New Roman"/>
          <w:sz w:val="24"/>
          <w:szCs w:val="24"/>
        </w:rPr>
        <w:t>:</w:t>
      </w:r>
    </w:p>
    <w:p w14:paraId="64C67C94" w14:textId="77777777" w:rsidR="006871BD" w:rsidRPr="00463E77" w:rsidRDefault="006871BD" w:rsidP="006871BD">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rPr>
      </w:pP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trường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vĩ</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mô</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triển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ổn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định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thể</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hiện</w:t>
      </w:r>
      <w:proofErr w:type="spellEnd"/>
      <w:r w:rsidRPr="00463E77">
        <w:rPr>
          <w:rFonts w:ascii="Times New Roman" w:hAnsi="Times New Roman"/>
          <w:sz w:val="24"/>
          <w:szCs w:val="24"/>
        </w:rPr>
        <w:t xml:space="preserve"> qua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chí</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tăng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trưởng</w:t>
      </w:r>
      <w:proofErr w:type="spellEnd"/>
      <w:r w:rsidRPr="00463E77">
        <w:rPr>
          <w:rFonts w:ascii="Times New Roman" w:hAnsi="Times New Roman"/>
          <w:sz w:val="24"/>
          <w:szCs w:val="24"/>
        </w:rPr>
        <w:t xml:space="preserve"> GDP </w:t>
      </w:r>
      <w:proofErr w:type="spellStart"/>
      <w:r w:rsidRPr="00463E77">
        <w:rPr>
          <w:rFonts w:ascii="Times New Roman" w:hAnsi="Times New Roman"/>
          <w:sz w:val="24"/>
          <w:szCs w:val="24"/>
        </w:rPr>
        <w:t>cao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lạm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phát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soát</w:t>
      </w:r>
      <w:proofErr w:type="spellEnd"/>
      <w:r w:rsidRPr="00463E77">
        <w:rPr>
          <w:rFonts w:ascii="Times New Roman" w:hAnsi="Times New Roman"/>
          <w:sz w:val="24"/>
          <w:szCs w:val="24"/>
        </w:rPr>
        <w:t xml:space="preserve"> ở </w:t>
      </w:r>
      <w:proofErr w:type="spellStart"/>
      <w:r w:rsidRPr="00463E77">
        <w:rPr>
          <w:rFonts w:ascii="Times New Roman" w:hAnsi="Times New Roman"/>
          <w:sz w:val="24"/>
          <w:szCs w:val="24"/>
        </w:rPr>
        <w:t>mức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vừa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phải</w:t>
      </w:r>
      <w:proofErr w:type="spellEnd"/>
      <w:r w:rsidRPr="00463E77">
        <w:rPr>
          <w:rFonts w:ascii="Times New Roman" w:hAnsi="Times New Roman"/>
          <w:sz w:val="24"/>
          <w:szCs w:val="24"/>
        </w:rPr>
        <w:t xml:space="preserve"> so </w:t>
      </w:r>
      <w:proofErr w:type="spellStart"/>
      <w:r w:rsidRPr="00463E77">
        <w:rPr>
          <w:rFonts w:ascii="Times New Roman" w:hAnsi="Times New Roman"/>
          <w:sz w:val="24"/>
          <w:szCs w:val="24"/>
        </w:rPr>
        <w:t>với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quốc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khác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giao</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biên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không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quá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lớn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dù</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điểm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và</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sự</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kiện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đặc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biệt</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làm</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tỷ</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biến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động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mạnh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nhưng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chỉ</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trong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thời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gian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khá</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ngắn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hình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thu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hút</w:t>
      </w:r>
      <w:proofErr w:type="spellEnd"/>
      <w:r w:rsidRPr="00463E77">
        <w:rPr>
          <w:rFonts w:ascii="Times New Roman" w:hAnsi="Times New Roman"/>
          <w:sz w:val="24"/>
          <w:szCs w:val="24"/>
        </w:rPr>
        <w:t xml:space="preserve"> FDI </w:t>
      </w:r>
      <w:proofErr w:type="spellStart"/>
      <w:r w:rsidRPr="00463E77">
        <w:rPr>
          <w:rFonts w:ascii="Times New Roman" w:hAnsi="Times New Roman"/>
          <w:sz w:val="24"/>
          <w:szCs w:val="24"/>
        </w:rPr>
        <w:t>vẫn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được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duy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trì</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chưa</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dấu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hiệu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tiêu</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cực</w:t>
      </w:r>
      <w:proofErr w:type="spellEnd"/>
      <w:r w:rsidRPr="00463E77">
        <w:rPr>
          <w:rFonts w:ascii="Times New Roman" w:hAnsi="Times New Roman"/>
          <w:sz w:val="24"/>
          <w:szCs w:val="24"/>
        </w:rPr>
        <w:t xml:space="preserve">,... Như </w:t>
      </w:r>
      <w:proofErr w:type="spellStart"/>
      <w:r w:rsidRPr="00463E77">
        <w:rPr>
          <w:rFonts w:ascii="Times New Roman" w:hAnsi="Times New Roman"/>
          <w:sz w:val="24"/>
          <w:szCs w:val="24"/>
        </w:rPr>
        <w:t>vậy</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nền</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Việt Nam </w:t>
      </w:r>
      <w:proofErr w:type="spellStart"/>
      <w:r w:rsidRPr="00463E77">
        <w:rPr>
          <w:rFonts w:ascii="Times New Roman" w:hAnsi="Times New Roman"/>
          <w:sz w:val="24"/>
          <w:szCs w:val="24"/>
        </w:rPr>
        <w:t>đang</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tiếp</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tục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bước</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trên</w:t>
      </w:r>
      <w:proofErr w:type="spellEnd"/>
      <w:r w:rsidRPr="00463E77">
        <w:rPr>
          <w:rFonts w:ascii="Times New Roman" w:hAnsi="Times New Roman"/>
          <w:sz w:val="24"/>
          <w:szCs w:val="24"/>
        </w:rPr>
        <w:t xml:space="preserve"> chu </w:t>
      </w:r>
      <w:proofErr w:type="spellStart"/>
      <w:r w:rsidRPr="00463E77">
        <w:rPr>
          <w:rFonts w:ascii="Times New Roman" w:hAnsi="Times New Roman"/>
          <w:sz w:val="24"/>
          <w:szCs w:val="24"/>
        </w:rPr>
        <w:t>kỳ</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kinh</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tế</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đi</w:t>
      </w:r>
      <w:proofErr w:type="spellEnd"/>
      <w:r w:rsidRPr="00463E77">
        <w:rPr>
          <w:rFonts w:ascii="Times New Roman" w:hAnsi="Times New Roman"/>
          <w:sz w:val="24"/>
          <w:szCs w:val="24"/>
        </w:rPr>
        <w:t xml:space="preserve"> </w:t>
      </w:r>
      <w:proofErr w:type="spellStart"/>
      <w:r w:rsidRPr="00463E77">
        <w:rPr>
          <w:rFonts w:ascii="Times New Roman" w:hAnsi="Times New Roman"/>
          <w:sz w:val="24"/>
          <w:szCs w:val="24"/>
        </w:rPr>
        <w:t>lên</w:t>
      </w:r>
      <w:proofErr w:type="spellEnd"/>
      <w:r w:rsidRPr="00463E77">
        <w:rPr>
          <w:rFonts w:ascii="Times New Roman" w:hAnsi="Times New Roman"/>
          <w:sz w:val="24"/>
          <w:szCs w:val="24"/>
        </w:rPr>
        <w:t>.</w:t>
      </w:r>
    </w:p>
    <w:p w14:paraId="2DA61541" w14:textId="77777777" w:rsidR="006871BD" w:rsidRPr="00EB4976" w:rsidRDefault="006871BD" w:rsidP="006871BD">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EB4976">
        <w:rPr>
          <w:rFonts w:ascii="Times New Roman" w:hAnsi="Times New Roman"/>
          <w:sz w:val="24"/>
          <w:szCs w:val="24"/>
          <w:lang w:val="nl-NL"/>
        </w:rPr>
        <w:t>Về đánh giá Thị trường Chứng khoán: với định giá hợp lý và mức sinh lời hấp dẫn hơn so với các thị trường trong khu vực (chỉ số giá trên thu nhập P/E thấp hơn mức trung bình trong nhiều năm qua, và hấp dẫn hơn so với các thị trường khu vực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578A3022" w14:textId="77777777" w:rsidR="006871BD" w:rsidRDefault="006871BD" w:rsidP="006871B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đã được Quốc hội thông qua trong năm 2022; (iii) triển vọng nâng hạng Thị trường Việt Nam (FTSE Russel và MSCI Emerging Market), đặc biệt là những bước tiến triển gần đây khi mà các cơ quan nhà nước như Bộ Tài chính, Ủy ban Chứng khoán Nhà nước đã có những hành động cụ thể để nhanh quá trình nâng hạng trước năm 2025 như tích cực chuẩn bị vận hành hệ thống giao dịch chứng khoán KRX, tổ chức các buổi tọa đàm lấy ý kiến cũng như chia sẽ quyết tâm từ Chính phủ về việc nâng hạng đến với các nhà đầu tư nước ngoài, cũng như với các tổ chức đánh giá;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w:t>
      </w:r>
    </w:p>
    <w:p w14:paraId="6B657A2A" w14:textId="77777777" w:rsidR="006871BD" w:rsidRDefault="006871BD" w:rsidP="006871B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Tuy nhiên chúng tôi vẫn khuyến nghị thận trọng với những rủi ro vĩ mô trên thế giới có thể tiếp tục xấu đi và ảnh hưởng sâu rộng đến tình hình kinh tế Việt Nam: lạm phát vẫn duy trì khá cao ở hầu hết các nền kinh tế lớn dù đang có xu hướng giảm xuống, môi trường lãi suất vẫn còn cao và chính sách thắt chặt tiền tệ có thể tiếp tục được kéo dài, hay các bất ổn địa chính trị là những ẩn số không lường trước được. Trong khi đó nhu cầu tiêu thụ toàn cầu có dấu hiệu suy giảm, “bóng ma” suy thoái ở một số nền kinh tế lớn đã bắt đầu xuất hiện. Đối với trong nước, rủi ro thị trường trái phiếu doanh nghiệp và nợ xấu của hệ thống ngân hàng chưa đo lường hết quy mô và bức tranh rủi ro ngày càng rõ ràng hơn. Việc giữ ổn định kinh tế vĩ mô và thúc đẩy tăng trưởng như mục tiêu hiện nay được đánh giá là nhiệm vụ khá thách thức cho Chính Phủ.</w:t>
      </w:r>
    </w:p>
    <w:p w14:paraId="2F0C9A17" w14:textId="77777777" w:rsidR="006871BD" w:rsidRDefault="006871BD" w:rsidP="006871B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Đánh giá chung, với các yếu tố cơ bản về giá trị kết hợp với các yếu tố định tính như phân tích ở trên cho thấy Thị trường Chứng khoán Việt Nam trong thời gian dài hạn sắp tới tiếp tục có những kịch bản sáng sủa cùng với kỳ vọng tiếp tục phục hồi dần và khởi sắc dần của nền kinh tế, tạo tiền đề cho sự phát triển lâu dài trong những năm tiếp theo; và dĩ nhiên bức tranh sáng sủa phải kèm </w:t>
      </w:r>
      <w:r>
        <w:rPr>
          <w:rFonts w:ascii="Times New Roman" w:hAnsi="Times New Roman"/>
          <w:sz w:val="24"/>
          <w:szCs w:val="24"/>
          <w:lang w:val="nl-NL"/>
        </w:rPr>
        <w:lastRenderedPageBreak/>
        <w:t>theo những giả định về tác động từ các rủi ro từ bên ngoài không quá lớn, lạm phát và tỷ giá kiểm soát tiếp tục ổn định, rủi ro của hệ thống ngân hàng thương mại trong tầm kiểm soát.</w:t>
      </w:r>
    </w:p>
    <w:p w14:paraId="785FB1AB"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4677E3">
        <w:rPr>
          <w:rFonts w:ascii="Times New Roman" w:hAnsi="Times New Roman"/>
          <w:b/>
          <w:sz w:val="24"/>
          <w:szCs w:val="24"/>
          <w:lang w:val="nl-NL"/>
        </w:rPr>
        <w:t>6</w:t>
      </w:r>
      <w:r w:rsidR="00BE6F63" w:rsidRPr="004677E3">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EFD51F0"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773D2C31"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0D5430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077F96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5A7597A"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0209517"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5D048DF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2C61053"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536CF55A" w:rsidR="009E4A9A" w:rsidRPr="00A90AB7" w:rsidRDefault="009E4A9A" w:rsidP="009E4A9A">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9E4A9A" w:rsidRPr="00A90AB7" w14:paraId="6F543997" w14:textId="77777777" w:rsidTr="005E549F">
        <w:tc>
          <w:tcPr>
            <w:tcW w:w="2970" w:type="dxa"/>
          </w:tcPr>
          <w:p w14:paraId="38EEFAEB" w14:textId="77777777" w:rsidR="009E4A9A" w:rsidRPr="00DF533C" w:rsidRDefault="009E4A9A" w:rsidP="009E4A9A">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0ADEC4B2"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Giám đốc, Trưởng Bộ phận Phát triển Kinh doanh</w:t>
            </w:r>
          </w:p>
        </w:tc>
        <w:tc>
          <w:tcPr>
            <w:tcW w:w="6390" w:type="dxa"/>
          </w:tcPr>
          <w:p w14:paraId="435DF6B1" w14:textId="77777777" w:rsidR="009E4A9A" w:rsidRPr="00DF533C" w:rsidRDefault="009E4A9A" w:rsidP="009E4A9A">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6CDBC0C"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1DB3C060"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13E7D634"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40114CA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72B577C1"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36C01AF4" w:rsidR="009E4A9A" w:rsidRPr="00A90AB7" w:rsidRDefault="009E4A9A" w:rsidP="009E4A9A">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lastRenderedPageBreak/>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1F2C92B8"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64B30002"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21438C6"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CD2DAED"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0256527"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15A665B5"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B9890BF"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6F5A783" w:rsidR="009E4A9A" w:rsidRPr="007B27C8" w:rsidRDefault="009E4A9A" w:rsidP="009E4A9A">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5FB0968"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AA49DC5"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684550E0"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463C9810"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1DA26CDD"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B3725F6" w:rsidR="009E4A9A" w:rsidRPr="007B27C8" w:rsidRDefault="009E4A9A" w:rsidP="009E4A9A">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bốn (14) năm làm việc trong lĩnh vực tài chính kế toán và đầu tư. Trong đó có hơn mười (10) năm kinh nghiệm </w:t>
            </w:r>
            <w:r w:rsidRPr="007B27C8">
              <w:rPr>
                <w:rFonts w:ascii="Times New Roman" w:hAnsi="Times New Roman"/>
                <w:sz w:val="24"/>
                <w:szCs w:val="24"/>
                <w:lang w:val="nl-NL"/>
              </w:rPr>
              <w:lastRenderedPageBreak/>
              <w:t>quản lý tài sản tại các Công ty: Công ty TNHH Một Thành 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lastRenderedPageBreak/>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Công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lastRenderedPageBreak/>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Việt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Công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Các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Thương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Quốc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Trường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Đoàn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Châu Á Thái Bình Dương.</w:t>
            </w:r>
          </w:p>
        </w:tc>
      </w:tr>
    </w:tbl>
    <w:p w14:paraId="0B24B535" w14:textId="0BA380CB"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lastRenderedPageBreak/>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0E3393">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59531B">
        <w:rPr>
          <w:rFonts w:ascii="Times New Roman" w:eastAsia="Times New Roman" w:hAnsi="Times New Roman"/>
          <w:i/>
          <w:lang w:val="nl-NL"/>
        </w:rPr>
        <w:t>10</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0E3393">
        <w:rPr>
          <w:rFonts w:ascii="Times New Roman" w:eastAsia="Times New Roman" w:hAnsi="Times New Roman"/>
          <w:i/>
          <w:lang w:val="nl-NL"/>
        </w:rPr>
        <w:t>3</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0AE4D2BC"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8233C52"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19B6"/>
    <w:rsid w:val="0001588B"/>
    <w:rsid w:val="00056F20"/>
    <w:rsid w:val="000600E0"/>
    <w:rsid w:val="00062055"/>
    <w:rsid w:val="00067968"/>
    <w:rsid w:val="00075787"/>
    <w:rsid w:val="00087AE7"/>
    <w:rsid w:val="00091CAB"/>
    <w:rsid w:val="00094E40"/>
    <w:rsid w:val="0009649C"/>
    <w:rsid w:val="000B431B"/>
    <w:rsid w:val="000C014D"/>
    <w:rsid w:val="000C4474"/>
    <w:rsid w:val="000C67AE"/>
    <w:rsid w:val="000D074B"/>
    <w:rsid w:val="000D3A01"/>
    <w:rsid w:val="000E3393"/>
    <w:rsid w:val="000E3B0B"/>
    <w:rsid w:val="000E5FE9"/>
    <w:rsid w:val="000F2123"/>
    <w:rsid w:val="000F601D"/>
    <w:rsid w:val="001046F6"/>
    <w:rsid w:val="001048A2"/>
    <w:rsid w:val="00116153"/>
    <w:rsid w:val="00123825"/>
    <w:rsid w:val="00124294"/>
    <w:rsid w:val="00131315"/>
    <w:rsid w:val="001321D1"/>
    <w:rsid w:val="001330FC"/>
    <w:rsid w:val="00137C1F"/>
    <w:rsid w:val="00147E0F"/>
    <w:rsid w:val="00151BC4"/>
    <w:rsid w:val="00156661"/>
    <w:rsid w:val="001660FB"/>
    <w:rsid w:val="00171D24"/>
    <w:rsid w:val="0017714B"/>
    <w:rsid w:val="0018025F"/>
    <w:rsid w:val="00181336"/>
    <w:rsid w:val="00181C49"/>
    <w:rsid w:val="001966AE"/>
    <w:rsid w:val="001B0B30"/>
    <w:rsid w:val="001B784B"/>
    <w:rsid w:val="001C4B96"/>
    <w:rsid w:val="001D49A9"/>
    <w:rsid w:val="001D6CAC"/>
    <w:rsid w:val="001E1E46"/>
    <w:rsid w:val="001E40A2"/>
    <w:rsid w:val="001E4811"/>
    <w:rsid w:val="00203124"/>
    <w:rsid w:val="00220EA1"/>
    <w:rsid w:val="002243DA"/>
    <w:rsid w:val="00245818"/>
    <w:rsid w:val="00260C52"/>
    <w:rsid w:val="002616E7"/>
    <w:rsid w:val="0026620B"/>
    <w:rsid w:val="002841FF"/>
    <w:rsid w:val="00290D33"/>
    <w:rsid w:val="002A14C7"/>
    <w:rsid w:val="002D4C06"/>
    <w:rsid w:val="002E1952"/>
    <w:rsid w:val="003011A5"/>
    <w:rsid w:val="00315A8E"/>
    <w:rsid w:val="00324B82"/>
    <w:rsid w:val="003329D6"/>
    <w:rsid w:val="003355C3"/>
    <w:rsid w:val="00335F45"/>
    <w:rsid w:val="00360AD3"/>
    <w:rsid w:val="00363C83"/>
    <w:rsid w:val="0037699B"/>
    <w:rsid w:val="00386B2A"/>
    <w:rsid w:val="003875D1"/>
    <w:rsid w:val="00390432"/>
    <w:rsid w:val="00394460"/>
    <w:rsid w:val="003A4C1C"/>
    <w:rsid w:val="003A4D71"/>
    <w:rsid w:val="003B07B0"/>
    <w:rsid w:val="003D42C3"/>
    <w:rsid w:val="003E0EF5"/>
    <w:rsid w:val="003E3D5C"/>
    <w:rsid w:val="003F36B2"/>
    <w:rsid w:val="003F7CB7"/>
    <w:rsid w:val="00420BBF"/>
    <w:rsid w:val="00424BCD"/>
    <w:rsid w:val="00450792"/>
    <w:rsid w:val="004532C3"/>
    <w:rsid w:val="00455789"/>
    <w:rsid w:val="004573A2"/>
    <w:rsid w:val="00460C69"/>
    <w:rsid w:val="0046119D"/>
    <w:rsid w:val="004647B9"/>
    <w:rsid w:val="004677E3"/>
    <w:rsid w:val="00477DC2"/>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8782D"/>
    <w:rsid w:val="0059531B"/>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871BD"/>
    <w:rsid w:val="006902A3"/>
    <w:rsid w:val="006A5246"/>
    <w:rsid w:val="006B2F2D"/>
    <w:rsid w:val="006D6A1B"/>
    <w:rsid w:val="006E2436"/>
    <w:rsid w:val="006F7015"/>
    <w:rsid w:val="00701DBC"/>
    <w:rsid w:val="00703342"/>
    <w:rsid w:val="007104D6"/>
    <w:rsid w:val="00713CC7"/>
    <w:rsid w:val="00747879"/>
    <w:rsid w:val="00753C12"/>
    <w:rsid w:val="00756A76"/>
    <w:rsid w:val="00763691"/>
    <w:rsid w:val="00764C46"/>
    <w:rsid w:val="00792A48"/>
    <w:rsid w:val="007959DC"/>
    <w:rsid w:val="007A2D4E"/>
    <w:rsid w:val="007B27C8"/>
    <w:rsid w:val="007B289D"/>
    <w:rsid w:val="007C5B05"/>
    <w:rsid w:val="007D0745"/>
    <w:rsid w:val="007F2DCF"/>
    <w:rsid w:val="007F66BE"/>
    <w:rsid w:val="008001E9"/>
    <w:rsid w:val="00804BBD"/>
    <w:rsid w:val="00816829"/>
    <w:rsid w:val="00826BB2"/>
    <w:rsid w:val="00830EAF"/>
    <w:rsid w:val="0083372E"/>
    <w:rsid w:val="00860234"/>
    <w:rsid w:val="00860A96"/>
    <w:rsid w:val="008707C6"/>
    <w:rsid w:val="008731A7"/>
    <w:rsid w:val="008873DE"/>
    <w:rsid w:val="008939A1"/>
    <w:rsid w:val="008971AB"/>
    <w:rsid w:val="00897BB3"/>
    <w:rsid w:val="008B0C11"/>
    <w:rsid w:val="008D0C99"/>
    <w:rsid w:val="008D5113"/>
    <w:rsid w:val="008D629B"/>
    <w:rsid w:val="008E75CF"/>
    <w:rsid w:val="008F2B2D"/>
    <w:rsid w:val="008F3818"/>
    <w:rsid w:val="0090437A"/>
    <w:rsid w:val="00912E19"/>
    <w:rsid w:val="00931464"/>
    <w:rsid w:val="0093157F"/>
    <w:rsid w:val="0093357C"/>
    <w:rsid w:val="00935B7F"/>
    <w:rsid w:val="0095587A"/>
    <w:rsid w:val="0096433E"/>
    <w:rsid w:val="0096793F"/>
    <w:rsid w:val="00967CA8"/>
    <w:rsid w:val="00981F7A"/>
    <w:rsid w:val="00982758"/>
    <w:rsid w:val="00985B28"/>
    <w:rsid w:val="009C5637"/>
    <w:rsid w:val="009D5686"/>
    <w:rsid w:val="009D7171"/>
    <w:rsid w:val="009E4A9A"/>
    <w:rsid w:val="009F4856"/>
    <w:rsid w:val="00A002EB"/>
    <w:rsid w:val="00A04A2C"/>
    <w:rsid w:val="00A16D50"/>
    <w:rsid w:val="00A24E1D"/>
    <w:rsid w:val="00A26229"/>
    <w:rsid w:val="00A27B9B"/>
    <w:rsid w:val="00A354B3"/>
    <w:rsid w:val="00A377D1"/>
    <w:rsid w:val="00A42F64"/>
    <w:rsid w:val="00A44447"/>
    <w:rsid w:val="00A474F7"/>
    <w:rsid w:val="00A62B81"/>
    <w:rsid w:val="00A81069"/>
    <w:rsid w:val="00A83802"/>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55789"/>
    <w:rsid w:val="00B63DD9"/>
    <w:rsid w:val="00B649B2"/>
    <w:rsid w:val="00B73897"/>
    <w:rsid w:val="00B7729E"/>
    <w:rsid w:val="00B77864"/>
    <w:rsid w:val="00B83A50"/>
    <w:rsid w:val="00B83A7D"/>
    <w:rsid w:val="00B8402C"/>
    <w:rsid w:val="00B964AB"/>
    <w:rsid w:val="00B97429"/>
    <w:rsid w:val="00B97B26"/>
    <w:rsid w:val="00BA4D7F"/>
    <w:rsid w:val="00BD079F"/>
    <w:rsid w:val="00BE1598"/>
    <w:rsid w:val="00BE6F63"/>
    <w:rsid w:val="00BF217F"/>
    <w:rsid w:val="00BF44CF"/>
    <w:rsid w:val="00C02674"/>
    <w:rsid w:val="00C07D3B"/>
    <w:rsid w:val="00C17A7C"/>
    <w:rsid w:val="00C326B2"/>
    <w:rsid w:val="00C32781"/>
    <w:rsid w:val="00C3684A"/>
    <w:rsid w:val="00C41CA6"/>
    <w:rsid w:val="00C47453"/>
    <w:rsid w:val="00C5103F"/>
    <w:rsid w:val="00C527C7"/>
    <w:rsid w:val="00C5765C"/>
    <w:rsid w:val="00C8194B"/>
    <w:rsid w:val="00C83D1E"/>
    <w:rsid w:val="00C91CB1"/>
    <w:rsid w:val="00CA76CF"/>
    <w:rsid w:val="00CB11D2"/>
    <w:rsid w:val="00CC0FF9"/>
    <w:rsid w:val="00CD495C"/>
    <w:rsid w:val="00D10122"/>
    <w:rsid w:val="00D11DF9"/>
    <w:rsid w:val="00D135E8"/>
    <w:rsid w:val="00D20DF1"/>
    <w:rsid w:val="00D32EB2"/>
    <w:rsid w:val="00D55232"/>
    <w:rsid w:val="00D66826"/>
    <w:rsid w:val="00D806C4"/>
    <w:rsid w:val="00D8541F"/>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67E98"/>
    <w:rsid w:val="00E74ED3"/>
    <w:rsid w:val="00E92263"/>
    <w:rsid w:val="00E95030"/>
    <w:rsid w:val="00EA03A4"/>
    <w:rsid w:val="00EA431F"/>
    <w:rsid w:val="00EB7C98"/>
    <w:rsid w:val="00EC15EC"/>
    <w:rsid w:val="00EC1DDD"/>
    <w:rsid w:val="00ED15C1"/>
    <w:rsid w:val="00ED4A9C"/>
    <w:rsid w:val="00EE2193"/>
    <w:rsid w:val="00EE3F61"/>
    <w:rsid w:val="00EF226D"/>
    <w:rsid w:val="00EF41E2"/>
    <w:rsid w:val="00F00770"/>
    <w:rsid w:val="00F01A1F"/>
    <w:rsid w:val="00F075DE"/>
    <w:rsid w:val="00F23C43"/>
    <w:rsid w:val="00F61CFC"/>
    <w:rsid w:val="00F72260"/>
    <w:rsid w:val="00F91FAC"/>
    <w:rsid w:val="00F92921"/>
    <w:rsid w:val="00FA0348"/>
    <w:rsid w:val="00FA2A53"/>
    <w:rsid w:val="00FB29CA"/>
    <w:rsid w:val="00FB7B6E"/>
    <w:rsid w:val="00FC1847"/>
    <w:rsid w:val="00FC1F89"/>
    <w:rsid w:val="00FE2BC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742B-4012-B31A-7272E272BE69}"/>
              </c:ext>
            </c:extLst>
          </c:dPt>
          <c:cat>
            <c:numRef>
              <c:f>Chart!$A$2:$A$296</c:f>
              <c:numCache>
                <c:formatCode>[$-409]d\-mmm\-yy;@</c:formatCode>
                <c:ptCount val="295"/>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0</c:v>
                </c:pt>
                <c:pt idx="291">
                  <c:v>0</c:v>
                </c:pt>
                <c:pt idx="292">
                  <c:v>0</c:v>
                </c:pt>
                <c:pt idx="293">
                  <c:v>0</c:v>
                </c:pt>
              </c:numCache>
            </c:numRef>
          </c:cat>
          <c:val>
            <c:numRef>
              <c:f>Chart!$B$2:$B$296</c:f>
              <c:numCache>
                <c:formatCode>_(* #,##0.00_);_(* \(#,##0.00\);_(* "-"??_);_(@_)</c:formatCode>
                <c:ptCount val="295"/>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0</c:v>
                </c:pt>
                <c:pt idx="291">
                  <c:v>0</c:v>
                </c:pt>
                <c:pt idx="292">
                  <c:v>0</c:v>
                </c:pt>
                <c:pt idx="293">
                  <c:v>0</c:v>
                </c:pt>
              </c:numCache>
            </c:numRef>
          </c:val>
          <c:smooth val="0"/>
          <c:extLst>
            <c:ext xmlns:c16="http://schemas.microsoft.com/office/drawing/2014/chart" uri="{C3380CC4-5D6E-409C-BE32-E72D297353CC}">
              <c16:uniqueId val="{00000001-742B-4012-B31A-7272E272BE69}"/>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TNp/1wgAwz2Q7yCBNWYBBGwn6OQ=</DigestValue>
    </Reference>
    <Reference Type="http://www.w3.org/2000/09/xmldsig#Object" URI="#idOfficeObject">
      <DigestMethod Algorithm="http://www.w3.org/2000/09/xmldsig#sha1"/>
      <DigestValue>W0uYxBz4YEY2VM2SDCLnOqqkGEs=</DigestValue>
    </Reference>
    <Reference Type="http://uri.etsi.org/01903#SignedProperties" URI="#idSignedProperties">
      <Transforms>
        <Transform Algorithm="http://www.w3.org/TR/2001/REC-xml-c14n-20010315"/>
      </Transforms>
      <DigestMethod Algorithm="http://www.w3.org/2000/09/xmldsig#sha1"/>
      <DigestValue>dP/8gju3EjHldPIUlEM1YrEuZgw=</DigestValue>
    </Reference>
  </SignedInfo>
  <SignatureValue>s6QOo3JCgqxE5sGl5VnZdanRmT80/lXOPa6aYBzi0kJrhbYTEwP1k0U+O2R9oUlWcOopoiwrEarV
OYZGONpm2oEIi61MT0yOoEdT2QJLkYZ0ZSKiTSb4sJOjRj63acQmCADlvUCZPwK7yqLQr+sLow5+
D/B3461ygnZEah1eF2s=</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SO4F7Assp4Ael4wrXBoNSvj+j3I=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X294+YKvXxHbQ9qh4iRERxl2eB0=</DigestValue>
      </Reference>
      <Reference URI="/word/charts/chart1.xml?ContentType=application/vnd.openxmlformats-officedocument.drawingml.chart+xml">
        <DigestMethod Algorithm="http://www.w3.org/2000/09/xmldsig#sha1"/>
        <DigestValue>yOJFPjCNL88dS7bk7aCZigR/mtI=</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VneXvmziluX3OPQ+dc0w1ZryYzI=</DigestValue>
      </Reference>
      <Reference URI="/word/fontTable.xml?ContentType=application/vnd.openxmlformats-officedocument.wordprocessingml.fontTable+xml">
        <DigestMethod Algorithm="http://www.w3.org/2000/09/xmldsig#sha1"/>
        <DigestValue>iqx5WPsTA1NDmMfjlWDiMGcxXFI=</DigestValue>
      </Reference>
      <Reference URI="/word/media/image1.png?ContentType=image/png">
        <DigestMethod Algorithm="http://www.w3.org/2000/09/xmldsig#sha1"/>
        <DigestValue>GANSvV+lv1dpN+/xTh7SK/IV37o=</DigestValue>
      </Reference>
      <Reference URI="/word/numbering.xml?ContentType=application/vnd.openxmlformats-officedocument.wordprocessingml.numbering+xml">
        <DigestMethod Algorithm="http://www.w3.org/2000/09/xmldsig#sha1"/>
        <DigestValue>LAs0HVY4DHRnBBAy41kGbas3qbQ=</DigestValue>
      </Reference>
      <Reference URI="/word/settings.xml?ContentType=application/vnd.openxmlformats-officedocument.wordprocessingml.settings+xml">
        <DigestMethod Algorithm="http://www.w3.org/2000/09/xmldsig#sha1"/>
        <DigestValue>Km+redxubRDGDLM/Dz4gSHqh/Xc=</DigestValue>
      </Reference>
      <Reference URI="/word/styles.xml?ContentType=application/vnd.openxmlformats-officedocument.wordprocessingml.styles+xml">
        <DigestMethod Algorithm="http://www.w3.org/2000/09/xmldsig#sha1"/>
        <DigestValue>1x8mGOfblBHbe2EKoaGL/hCM/p0=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2023-10-13T11:17:04Z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2023-10-13T11:17:04Z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3997</Words>
  <Characters>22784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21</cp:revision>
  <dcterms:created xsi:type="dcterms:W3CDTF">2023-04-13T06:51:00Z</dcterms:created>
  <dcterms:modified xsi:type="dcterms:W3CDTF">2023-10-13T11:16:00Z</dcterms:modified>
</cp:coreProperties>
</file>